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7A39" w14:textId="251A7C74" w:rsidR="00AE687F" w:rsidRPr="00E9705A" w:rsidRDefault="004F5C5F" w:rsidP="00AE687F">
      <w:pPr>
        <w:jc w:val="center"/>
        <w:rPr>
          <w:rFonts w:ascii="Times New Roman" w:hAnsi="Times New Roman" w:cs="Times New Roman"/>
          <w:color w:val="0000FF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color w:val="0000FF"/>
          <w:sz w:val="52"/>
          <w:szCs w:val="52"/>
          <w:lang w:val="en-US"/>
        </w:rPr>
        <w:drawing>
          <wp:anchor distT="0" distB="0" distL="114300" distR="114300" simplePos="0" relativeHeight="251659267" behindDoc="0" locked="0" layoutInCell="1" allowOverlap="1" wp14:anchorId="460BC1D4" wp14:editId="7338EDD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6593" cy="1106714"/>
            <wp:effectExtent l="0" t="0" r="0" b="0"/>
            <wp:wrapNone/>
            <wp:docPr id="1837882948" name="Picture 1" descr="A coat of arms with two people holding a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82948" name="Picture 1" descr="A coat of arms with two people holding a shiel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593" cy="11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360B4" w14:textId="77777777" w:rsidR="00AE687F" w:rsidRPr="00E9705A" w:rsidRDefault="00AE687F" w:rsidP="00AE687F">
      <w:pPr>
        <w:jc w:val="center"/>
        <w:rPr>
          <w:rFonts w:ascii="Times New Roman" w:hAnsi="Times New Roman" w:cs="Times New Roman"/>
          <w:color w:val="0000FF"/>
          <w:sz w:val="52"/>
          <w:szCs w:val="52"/>
          <w:lang w:val="en-US"/>
        </w:rPr>
      </w:pPr>
    </w:p>
    <w:p w14:paraId="25EB0A06" w14:textId="77777777" w:rsidR="004F5C5F" w:rsidRDefault="004F5C5F" w:rsidP="00AE687F">
      <w:pPr>
        <w:jc w:val="center"/>
        <w:rPr>
          <w:rFonts w:ascii="Times New Roman" w:hAnsi="Times New Roman" w:cs="Times New Roman"/>
          <w:color w:val="0000FF"/>
          <w:sz w:val="72"/>
          <w:szCs w:val="72"/>
          <w:lang w:val="en-US"/>
        </w:rPr>
      </w:pPr>
    </w:p>
    <w:p w14:paraId="0830A64D" w14:textId="76F16636" w:rsidR="00AE687F" w:rsidRPr="001E6CB8" w:rsidRDefault="00920B08" w:rsidP="00AE687F">
      <w:pPr>
        <w:jc w:val="center"/>
        <w:rPr>
          <w:rFonts w:ascii="Albertus Extra Bold" w:hAnsi="Albertus Extra Bold" w:cs="Times New Roman"/>
          <w:color w:val="156082" w:themeColor="accent1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B8">
        <w:rPr>
          <w:rFonts w:ascii="Albertus Extra Bold" w:hAnsi="Albertus Extra Bold" w:cs="Times New Roman"/>
          <w:color w:val="156082" w:themeColor="accent1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OFFICE OF THE CABINET</w:t>
      </w:r>
    </w:p>
    <w:p w14:paraId="5BB56F92" w14:textId="77777777" w:rsidR="00920B08" w:rsidRPr="001E6CB8" w:rsidRDefault="00920B08" w:rsidP="00AE687F">
      <w:pPr>
        <w:jc w:val="center"/>
        <w:rPr>
          <w:rFonts w:ascii="Albertus Extra Bold" w:hAnsi="Albertus Extra Bold" w:cs="Times New Roman"/>
          <w:color w:val="156082" w:themeColor="accent1"/>
          <w:sz w:val="32"/>
          <w:szCs w:val="3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D928E4" w14:textId="219B3E65" w:rsidR="00AE687F" w:rsidRPr="001E6CB8" w:rsidRDefault="00AE687F" w:rsidP="00AE687F">
      <w:pPr>
        <w:jc w:val="center"/>
        <w:rPr>
          <w:rFonts w:ascii="Albertus Extra Bold" w:hAnsi="Albertus Extra Bold" w:cs="Times New Roman"/>
          <w:color w:val="156082" w:themeColor="accent1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CB8">
        <w:rPr>
          <w:rFonts w:ascii="Albertus Extra Bold" w:hAnsi="Albertus Extra Bold" w:cs="Times New Roman"/>
          <w:color w:val="156082" w:themeColor="accent1"/>
          <w:sz w:val="72"/>
          <w:szCs w:val="7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Quarterly Performance Reporting Template</w:t>
      </w:r>
    </w:p>
    <w:p w14:paraId="1BFEA38F" w14:textId="18026841" w:rsidR="00A41A09" w:rsidRPr="00E9705A" w:rsidRDefault="00A41A09">
      <w:pPr>
        <w:rPr>
          <w:rFonts w:ascii="Times New Roman" w:hAnsi="Times New Roman" w:cs="Times New Roman"/>
          <w:lang w:val="en-US"/>
        </w:rPr>
      </w:pPr>
    </w:p>
    <w:p w14:paraId="109BCAFB" w14:textId="77777777" w:rsidR="00AE687F" w:rsidRPr="00E9705A" w:rsidRDefault="00AE687F">
      <w:pPr>
        <w:rPr>
          <w:rFonts w:ascii="Times New Roman" w:hAnsi="Times New Roman" w:cs="Times New Roman"/>
          <w:lang w:val="en-US"/>
        </w:rPr>
      </w:pPr>
    </w:p>
    <w:p w14:paraId="7B77C763" w14:textId="77777777" w:rsidR="00AE687F" w:rsidRPr="00E9705A" w:rsidRDefault="00AE687F">
      <w:pPr>
        <w:rPr>
          <w:rFonts w:ascii="Times New Roman" w:hAnsi="Times New Roman" w:cs="Times New Roman"/>
          <w:lang w:val="en-US"/>
        </w:rPr>
      </w:pPr>
    </w:p>
    <w:p w14:paraId="6C29D48A" w14:textId="77777777" w:rsidR="00AE687F" w:rsidRPr="00E9705A" w:rsidRDefault="00AE687F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9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7570"/>
      </w:tblGrid>
      <w:tr w:rsidR="00AE687F" w:rsidRPr="00E9705A" w14:paraId="64CCE91B" w14:textId="4B320F0C" w:rsidTr="00C81256">
        <w:trPr>
          <w:trHeight w:val="542"/>
          <w:jc w:val="center"/>
        </w:trPr>
        <w:tc>
          <w:tcPr>
            <w:tcW w:w="2407" w:type="dxa"/>
            <w:vAlign w:val="center"/>
          </w:tcPr>
          <w:p w14:paraId="436A6C63" w14:textId="243F67FA" w:rsidR="00AE687F" w:rsidRPr="00E9705A" w:rsidRDefault="00C81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MINISTRY: </w:t>
            </w:r>
          </w:p>
        </w:tc>
        <w:tc>
          <w:tcPr>
            <w:tcW w:w="7570" w:type="dxa"/>
            <w:vAlign w:val="center"/>
          </w:tcPr>
          <w:p w14:paraId="5A781F31" w14:textId="1D46DDDD" w:rsidR="00C81256" w:rsidRPr="00E9705A" w:rsidRDefault="00AE6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79D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[Name of Ministry]</w:t>
            </w:r>
          </w:p>
        </w:tc>
      </w:tr>
      <w:tr w:rsidR="00AE687F" w:rsidRPr="00E9705A" w14:paraId="379BE38E" w14:textId="4D5180DA" w:rsidTr="00C81256">
        <w:trPr>
          <w:trHeight w:val="564"/>
          <w:jc w:val="center"/>
        </w:trPr>
        <w:tc>
          <w:tcPr>
            <w:tcW w:w="2407" w:type="dxa"/>
            <w:vAlign w:val="center"/>
          </w:tcPr>
          <w:p w14:paraId="2417942A" w14:textId="008A593B" w:rsidR="00AE687F" w:rsidRPr="00E9705A" w:rsidRDefault="00C81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REPORTING PERIOD:</w:t>
            </w:r>
          </w:p>
        </w:tc>
        <w:tc>
          <w:tcPr>
            <w:tcW w:w="7570" w:type="dxa"/>
            <w:vAlign w:val="center"/>
          </w:tcPr>
          <w:p w14:paraId="4AC9142B" w14:textId="11E21CE6" w:rsidR="00C81256" w:rsidRPr="00E9705A" w:rsidRDefault="00AD32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79D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April – June 202</w:t>
            </w:r>
            <w:r w:rsidR="00981122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6</w:t>
            </w:r>
          </w:p>
        </w:tc>
      </w:tr>
      <w:tr w:rsidR="00AE687F" w:rsidRPr="00E9705A" w14:paraId="20A26A99" w14:textId="1F17A1D2" w:rsidTr="00C81256">
        <w:trPr>
          <w:trHeight w:val="544"/>
          <w:jc w:val="center"/>
        </w:trPr>
        <w:tc>
          <w:tcPr>
            <w:tcW w:w="2407" w:type="dxa"/>
            <w:vAlign w:val="center"/>
          </w:tcPr>
          <w:p w14:paraId="72757F52" w14:textId="5A75F99B" w:rsidR="00AE687F" w:rsidRPr="00E9705A" w:rsidRDefault="00C8125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REPORT DATE:</w:t>
            </w:r>
          </w:p>
        </w:tc>
        <w:tc>
          <w:tcPr>
            <w:tcW w:w="7570" w:type="dxa"/>
            <w:vAlign w:val="center"/>
          </w:tcPr>
          <w:p w14:paraId="68A7B3DA" w14:textId="5489C550" w:rsidR="00C81256" w:rsidRPr="00E9705A" w:rsidRDefault="00AD32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79D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July </w:t>
            </w:r>
            <w:r w:rsidR="00DA7552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20</w:t>
            </w:r>
            <w:r w:rsidRPr="00AE679D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, 202</w:t>
            </w:r>
            <w:r w:rsidR="00DA7552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6</w:t>
            </w:r>
            <w:r w:rsidR="00F82FA9" w:rsidRPr="00AE679D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.</w:t>
            </w:r>
          </w:p>
        </w:tc>
      </w:tr>
    </w:tbl>
    <w:p w14:paraId="6862FBBE" w14:textId="7DE7DF32" w:rsidR="00AE687F" w:rsidRPr="00E9705A" w:rsidRDefault="00AE687F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br w:type="page"/>
      </w:r>
    </w:p>
    <w:p w14:paraId="4AB5D8AA" w14:textId="77777777" w:rsidR="00A76E36" w:rsidRPr="00E9705A" w:rsidRDefault="00A76E36">
      <w:pPr>
        <w:rPr>
          <w:rFonts w:ascii="Times New Roman" w:hAnsi="Times New Roman" w:cs="Times New Roman"/>
          <w:color w:val="0000FF"/>
          <w:sz w:val="28"/>
          <w:szCs w:val="28"/>
          <w:lang w:val="en-US"/>
        </w:rPr>
        <w:sectPr w:rsidR="00A76E36" w:rsidRPr="00E9705A" w:rsidSect="00A76E36">
          <w:footerReference w:type="default" r:id="rId11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val="en-JM"/>
          <w14:ligatures w14:val="standardContextual"/>
        </w:rPr>
        <w:id w:val="333584131"/>
        <w:docPartObj>
          <w:docPartGallery w:val="Table of Contents"/>
          <w:docPartUnique/>
        </w:docPartObj>
      </w:sdtPr>
      <w:sdtEndPr>
        <w:rPr>
          <w:b/>
          <w:bCs/>
          <w:noProof/>
          <w:color w:val="0000FF"/>
        </w:rPr>
      </w:sdtEndPr>
      <w:sdtContent>
        <w:p w14:paraId="313B69CD" w14:textId="461E0D4F" w:rsidR="000D1E94" w:rsidRPr="008D3996" w:rsidRDefault="000D1E94" w:rsidP="00E9705A">
          <w:pPr>
            <w:pStyle w:val="TOCHeading"/>
            <w:spacing w:line="480" w:lineRule="auto"/>
            <w:rPr>
              <w:rFonts w:ascii="Elephant" w:hAnsi="Elephant" w:cs="Times New Roman"/>
              <w:color w:val="0000FF"/>
            </w:rPr>
          </w:pPr>
          <w:r w:rsidRPr="008D3996">
            <w:rPr>
              <w:rFonts w:ascii="Elephant" w:hAnsi="Elephant" w:cs="Times New Roman"/>
              <w:color w:val="0000FF"/>
            </w:rPr>
            <w:t>Table of Contents</w:t>
          </w:r>
        </w:p>
        <w:p w14:paraId="7DDA05C5" w14:textId="123E0EB9" w:rsidR="006F6FBB" w:rsidRDefault="000D1E9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eastAsia="en-JM"/>
            </w:rPr>
          </w:pPr>
          <w:r w:rsidRPr="00E9705A">
            <w:rPr>
              <w:rFonts w:ascii="Times New Roman" w:hAnsi="Times New Roman" w:cs="Times New Roman"/>
            </w:rPr>
            <w:fldChar w:fldCharType="begin"/>
          </w:r>
          <w:r w:rsidRPr="00E9705A">
            <w:rPr>
              <w:rFonts w:ascii="Times New Roman" w:hAnsi="Times New Roman" w:cs="Times New Roman"/>
            </w:rPr>
            <w:instrText xml:space="preserve"> TOC \o "1-3" \h \z \u </w:instrText>
          </w:r>
          <w:r w:rsidRPr="00E9705A">
            <w:rPr>
              <w:rFonts w:ascii="Times New Roman" w:hAnsi="Times New Roman" w:cs="Times New Roman"/>
            </w:rPr>
            <w:fldChar w:fldCharType="separate"/>
          </w:r>
          <w:hyperlink w:anchor="_Toc223953900" w:history="1">
            <w:r w:rsidR="006F6FBB" w:rsidRPr="00333614">
              <w:rPr>
                <w:rStyle w:val="Hyperlink"/>
                <w:rFonts w:ascii="Elephant" w:hAnsi="Elephant"/>
                <w:noProof/>
                <w:lang w:val="en-US"/>
              </w:rPr>
              <w:t>1.0 PERFORMANCE OVERVIEW</w:t>
            </w:r>
            <w:r w:rsidR="006F6FBB">
              <w:rPr>
                <w:noProof/>
                <w:webHidden/>
              </w:rPr>
              <w:tab/>
            </w:r>
            <w:r w:rsidR="006F6FBB">
              <w:rPr>
                <w:noProof/>
                <w:webHidden/>
              </w:rPr>
              <w:fldChar w:fldCharType="begin"/>
            </w:r>
            <w:r w:rsidR="006F6FBB">
              <w:rPr>
                <w:noProof/>
                <w:webHidden/>
              </w:rPr>
              <w:instrText xml:space="preserve"> PAGEREF _Toc223953900 \h </w:instrText>
            </w:r>
            <w:r w:rsidR="006F6FBB">
              <w:rPr>
                <w:noProof/>
                <w:webHidden/>
              </w:rPr>
            </w:r>
            <w:r w:rsidR="006F6FBB">
              <w:rPr>
                <w:noProof/>
                <w:webHidden/>
              </w:rPr>
              <w:fldChar w:fldCharType="separate"/>
            </w:r>
            <w:r w:rsidR="006F6FBB">
              <w:rPr>
                <w:noProof/>
                <w:webHidden/>
              </w:rPr>
              <w:t>1</w:t>
            </w:r>
            <w:r w:rsidR="006F6FBB">
              <w:rPr>
                <w:noProof/>
                <w:webHidden/>
              </w:rPr>
              <w:fldChar w:fldCharType="end"/>
            </w:r>
          </w:hyperlink>
        </w:p>
        <w:p w14:paraId="301C642F" w14:textId="0F9100BC" w:rsidR="006F6FBB" w:rsidRDefault="006F6FBB" w:rsidP="006F6FBB">
          <w:pPr>
            <w:pStyle w:val="TOC1"/>
            <w:tabs>
              <w:tab w:val="right" w:leader="dot" w:pos="9350"/>
            </w:tabs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1" w:history="1">
            <w:r w:rsidRPr="00333614">
              <w:rPr>
                <w:rStyle w:val="Hyperlink"/>
                <w:rFonts w:ascii="Elephant" w:hAnsi="Elephant" w:cs="Times New Roman"/>
                <w:noProof/>
                <w:lang w:val="en-US"/>
              </w:rPr>
              <w:t>1.1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C1E3D" w14:textId="522FA6FF" w:rsidR="006F6FBB" w:rsidRDefault="006F6FBB" w:rsidP="006F6FBB">
          <w:pPr>
            <w:pStyle w:val="TOC2"/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2" w:history="1">
            <w:r w:rsidRPr="00333614">
              <w:rPr>
                <w:rStyle w:val="Hyperlink"/>
                <w:rFonts w:ascii="Elephant" w:hAnsi="Elephant" w:cs="Times New Roman"/>
                <w:noProof/>
                <w:lang w:val="en-US"/>
              </w:rPr>
              <w:t>1.2 Recommendations Review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E8B8" w14:textId="1E65529E" w:rsidR="006F6FBB" w:rsidRDefault="006F6F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3" w:history="1">
            <w:r w:rsidRPr="00333614">
              <w:rPr>
                <w:rStyle w:val="Hyperlink"/>
                <w:rFonts w:ascii="Elephant" w:hAnsi="Elephant"/>
                <w:noProof/>
                <w:lang w:val="en-US"/>
              </w:rPr>
              <w:t>2.0 PERFORMANCE ANALYSIS &amp; PROJECTION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CBD86" w14:textId="395D46C9" w:rsidR="006F6FBB" w:rsidRDefault="006F6FBB" w:rsidP="006F6FBB">
          <w:pPr>
            <w:pStyle w:val="TOC2"/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4" w:history="1">
            <w:r w:rsidRPr="00333614">
              <w:rPr>
                <w:rStyle w:val="Hyperlink"/>
                <w:rFonts w:ascii="Elephant" w:hAnsi="Elephant" w:cs="Times New Roman"/>
                <w:noProof/>
                <w:lang w:val="en-US"/>
              </w:rPr>
              <w:t>2.1 End-of-Year Outcome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F9FFD" w14:textId="7AA9616B" w:rsidR="006F6FBB" w:rsidRDefault="006F6FBB" w:rsidP="006F6FBB">
          <w:pPr>
            <w:pStyle w:val="TOC1"/>
            <w:tabs>
              <w:tab w:val="right" w:leader="dot" w:pos="9350"/>
            </w:tabs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5" w:history="1">
            <w:r w:rsidRPr="00333614">
              <w:rPr>
                <w:rStyle w:val="Hyperlink"/>
                <w:rFonts w:ascii="Elephant" w:hAnsi="Elephant" w:cs="Times New Roman"/>
                <w:noProof/>
                <w:lang w:val="en-US"/>
              </w:rPr>
              <w:t>2.2 Key Performance Indicator (KPI) 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96C5F" w14:textId="7F6C4E8F" w:rsidR="006F6FBB" w:rsidRDefault="006F6FBB" w:rsidP="006F6FBB">
          <w:pPr>
            <w:pStyle w:val="TOC2"/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6" w:history="1">
            <w:r w:rsidRPr="00333614">
              <w:rPr>
                <w:rStyle w:val="Hyperlink"/>
                <w:rFonts w:ascii="Elephant" w:hAnsi="Elephant"/>
                <w:noProof/>
                <w:lang w:val="en-US"/>
              </w:rPr>
              <w:t>2.3 Trend Analysis of KPIs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F72F3" w14:textId="45544BAD" w:rsidR="006F6FBB" w:rsidRDefault="006F6FB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7" w:history="1">
            <w:r w:rsidRPr="00333614">
              <w:rPr>
                <w:rStyle w:val="Hyperlink"/>
                <w:rFonts w:ascii="Elephant" w:hAnsi="Elephant"/>
                <w:noProof/>
                <w:lang w:val="en-US"/>
              </w:rPr>
              <w:t>3.0 PERFORMANCE UPDATE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9801C" w14:textId="5BF7E289" w:rsidR="006F6FBB" w:rsidRDefault="006F6FBB" w:rsidP="006F6FBB">
          <w:pPr>
            <w:pStyle w:val="TOC1"/>
            <w:tabs>
              <w:tab w:val="right" w:leader="dot" w:pos="9350"/>
            </w:tabs>
            <w:ind w:left="426"/>
            <w:rPr>
              <w:rFonts w:eastAsiaTheme="minorEastAsia"/>
              <w:noProof/>
              <w:sz w:val="24"/>
              <w:szCs w:val="24"/>
              <w:lang w:eastAsia="en-JM"/>
            </w:rPr>
          </w:pPr>
          <w:hyperlink w:anchor="_Toc223953908" w:history="1">
            <w:r w:rsidRPr="00333614">
              <w:rPr>
                <w:rStyle w:val="Hyperlink"/>
                <w:rFonts w:ascii="Elephant" w:hAnsi="Elephant" w:cs="Times New Roman"/>
                <w:noProof/>
                <w:lang w:val="en-US"/>
              </w:rPr>
              <w:t>3.1 Results Matrices by Sub-Programme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_Toc223953908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A04F" w14:textId="3DA495FA" w:rsidR="000D1E94" w:rsidRPr="008D3996" w:rsidRDefault="000D1E94">
          <w:pPr>
            <w:rPr>
              <w:rFonts w:ascii="Times New Roman" w:hAnsi="Times New Roman" w:cs="Times New Roman"/>
              <w:color w:val="0000FF"/>
            </w:rPr>
          </w:pPr>
          <w:r w:rsidRPr="00E9705A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  <w:r w:rsidR="00E917DE" w:rsidRPr="00E9705A">
            <w:rPr>
              <w:rFonts w:ascii="Times New Roman" w:hAnsi="Times New Roman" w:cs="Times New Roman"/>
              <w:b/>
              <w:bCs/>
              <w:noProof/>
            </w:rPr>
            <w:t xml:space="preserve">     </w:t>
          </w:r>
          <w:r w:rsidR="00161A0E" w:rsidRPr="008D3996">
            <w:rPr>
              <w:rFonts w:ascii="Times New Roman" w:hAnsi="Times New Roman" w:cs="Times New Roman"/>
              <w:b/>
              <w:bCs/>
              <w:noProof/>
              <w:color w:val="0000FF"/>
            </w:rPr>
            <w:t>[</w:t>
          </w:r>
          <w:r w:rsidR="0083199E">
            <w:rPr>
              <w:rFonts w:ascii="Times New Roman" w:hAnsi="Times New Roman" w:cs="Times New Roman"/>
              <w:b/>
              <w:bCs/>
              <w:noProof/>
              <w:color w:val="0000FF"/>
            </w:rPr>
            <w:t>Ident</w:t>
          </w:r>
          <w:r w:rsidR="006B033A">
            <w:rPr>
              <w:rFonts w:ascii="Times New Roman" w:hAnsi="Times New Roman" w:cs="Times New Roman"/>
              <w:b/>
              <w:bCs/>
              <w:noProof/>
              <w:color w:val="0000FF"/>
            </w:rPr>
            <w:t>ify each</w:t>
          </w:r>
          <w:r w:rsidR="00161A0E" w:rsidRPr="008D3996">
            <w:rPr>
              <w:rFonts w:ascii="Times New Roman" w:hAnsi="Times New Roman" w:cs="Times New Roman"/>
              <w:b/>
              <w:bCs/>
              <w:noProof/>
              <w:color w:val="0000FF"/>
            </w:rPr>
            <w:t xml:space="preserve"> sub-programme</w:t>
          </w:r>
          <w:r w:rsidR="00EA77E5">
            <w:rPr>
              <w:rFonts w:ascii="Times New Roman" w:hAnsi="Times New Roman" w:cs="Times New Roman"/>
              <w:b/>
              <w:bCs/>
              <w:noProof/>
              <w:color w:val="0000FF"/>
            </w:rPr>
            <w:t xml:space="preserve"> and their respective page numbers</w:t>
          </w:r>
          <w:r w:rsidR="00161A0E" w:rsidRPr="008D3996">
            <w:rPr>
              <w:rFonts w:ascii="Times New Roman" w:hAnsi="Times New Roman" w:cs="Times New Roman"/>
              <w:b/>
              <w:bCs/>
              <w:noProof/>
              <w:color w:val="0000FF"/>
            </w:rPr>
            <w:t>]</w:t>
          </w:r>
        </w:p>
      </w:sdtContent>
    </w:sdt>
    <w:p w14:paraId="10D0CCB5" w14:textId="4C34387E" w:rsidR="00A71EB4" w:rsidRPr="00E9705A" w:rsidRDefault="00A71EB4">
      <w:pPr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9705A">
        <w:rPr>
          <w:rFonts w:ascii="Times New Roman" w:hAnsi="Times New Roman" w:cs="Times New Roman"/>
          <w:color w:val="0000FF"/>
          <w:sz w:val="28"/>
          <w:szCs w:val="28"/>
          <w:lang w:val="en-US"/>
        </w:rPr>
        <w:br w:type="page"/>
      </w:r>
    </w:p>
    <w:p w14:paraId="73E58867" w14:textId="77777777" w:rsidR="00010A63" w:rsidRDefault="00010A63" w:rsidP="00010A63">
      <w:pPr>
        <w:pStyle w:val="Heading1"/>
        <w:rPr>
          <w:lang w:val="en-US"/>
        </w:rPr>
      </w:pPr>
    </w:p>
    <w:p w14:paraId="5219326F" w14:textId="77777777" w:rsidR="00A15344" w:rsidRDefault="00A15344" w:rsidP="00A15344">
      <w:pPr>
        <w:rPr>
          <w:lang w:val="en-US"/>
        </w:rPr>
      </w:pPr>
    </w:p>
    <w:p w14:paraId="340E5D7B" w14:textId="77777777" w:rsidR="00A15344" w:rsidRDefault="00A15344" w:rsidP="00A15344">
      <w:pPr>
        <w:rPr>
          <w:lang w:val="en-US"/>
        </w:rPr>
      </w:pPr>
    </w:p>
    <w:p w14:paraId="760FDF81" w14:textId="77777777" w:rsidR="00A15344" w:rsidRDefault="00A15344" w:rsidP="00A15344">
      <w:pPr>
        <w:rPr>
          <w:lang w:val="en-US"/>
        </w:rPr>
      </w:pPr>
    </w:p>
    <w:p w14:paraId="2E596EBF" w14:textId="77777777" w:rsidR="00A15344" w:rsidRPr="00A15344" w:rsidRDefault="00A15344" w:rsidP="00A15344">
      <w:pPr>
        <w:rPr>
          <w:lang w:val="en-US"/>
        </w:rPr>
      </w:pPr>
    </w:p>
    <w:p w14:paraId="4BB09C13" w14:textId="46294B28" w:rsidR="00010A63" w:rsidRPr="00377DDB" w:rsidRDefault="00377DDB" w:rsidP="00377DDB">
      <w:pPr>
        <w:pStyle w:val="Heading1"/>
        <w:jc w:val="center"/>
        <w:rPr>
          <w:rFonts w:ascii="Elephant" w:hAnsi="Elephant"/>
          <w:color w:val="0000FF"/>
          <w:sz w:val="96"/>
          <w:szCs w:val="96"/>
          <w:lang w:val="en-US"/>
        </w:rPr>
      </w:pPr>
      <w:bookmarkStart w:id="0" w:name="_Toc223953900"/>
      <w:r w:rsidRPr="00377DDB">
        <w:rPr>
          <w:rFonts w:ascii="Elephant" w:hAnsi="Elephant"/>
          <w:color w:val="0000FF"/>
          <w:sz w:val="96"/>
          <w:szCs w:val="96"/>
          <w:lang w:val="en-US"/>
        </w:rPr>
        <w:t xml:space="preserve">1.0 </w:t>
      </w:r>
      <w:r w:rsidR="00010A63" w:rsidRPr="00377DDB">
        <w:rPr>
          <w:rFonts w:ascii="Elephant" w:hAnsi="Elephant"/>
          <w:color w:val="0000FF"/>
          <w:sz w:val="96"/>
          <w:szCs w:val="96"/>
          <w:lang w:val="en-US"/>
        </w:rPr>
        <w:t>PERFORMANCE OVERVIEW</w:t>
      </w:r>
      <w:bookmarkEnd w:id="0"/>
    </w:p>
    <w:p w14:paraId="3C05B8D5" w14:textId="06096C1A" w:rsidR="00377DDB" w:rsidRDefault="00377DDB">
      <w:pPr>
        <w:rPr>
          <w:rFonts w:ascii="Elephant" w:hAnsi="Elephant" w:cs="Times New Roman"/>
          <w:color w:val="0000FF"/>
          <w:sz w:val="32"/>
          <w:szCs w:val="32"/>
          <w:lang w:val="en-US"/>
        </w:rPr>
      </w:pPr>
      <w:r>
        <w:rPr>
          <w:rFonts w:ascii="Elephant" w:hAnsi="Elephant" w:cs="Times New Roman"/>
          <w:color w:val="0000FF"/>
          <w:sz w:val="32"/>
          <w:szCs w:val="32"/>
          <w:lang w:val="en-US"/>
        </w:rPr>
        <w:br w:type="page"/>
      </w:r>
    </w:p>
    <w:p w14:paraId="1D57E327" w14:textId="6650FAC1" w:rsidR="00A41A09" w:rsidRPr="00E9705A" w:rsidRDefault="00E9705A" w:rsidP="00631352">
      <w:pPr>
        <w:pStyle w:val="Heading1"/>
        <w:rPr>
          <w:rFonts w:ascii="Elephant" w:hAnsi="Elephant" w:cs="Times New Roman"/>
          <w:color w:val="0000FF"/>
          <w:sz w:val="32"/>
          <w:szCs w:val="32"/>
          <w:lang w:val="en-US"/>
        </w:rPr>
      </w:pPr>
      <w:bookmarkStart w:id="1" w:name="_Toc223953901"/>
      <w:r w:rsidRPr="00E9705A">
        <w:rPr>
          <w:rFonts w:ascii="Elephant" w:hAnsi="Elephant" w:cs="Times New Roman"/>
          <w:color w:val="0000FF"/>
          <w:sz w:val="32"/>
          <w:szCs w:val="32"/>
          <w:lang w:val="en-US"/>
        </w:rPr>
        <w:lastRenderedPageBreak/>
        <w:t>1.</w:t>
      </w:r>
      <w:r w:rsidR="00E92727">
        <w:rPr>
          <w:rFonts w:ascii="Elephant" w:hAnsi="Elephant" w:cs="Times New Roman"/>
          <w:color w:val="0000FF"/>
          <w:sz w:val="32"/>
          <w:szCs w:val="32"/>
          <w:lang w:val="en-US"/>
        </w:rPr>
        <w:t>1</w:t>
      </w:r>
      <w:r w:rsidRPr="00E9705A">
        <w:rPr>
          <w:rFonts w:ascii="Elephant" w:hAnsi="Elephant" w:cs="Times New Roman"/>
          <w:color w:val="0000FF"/>
          <w:sz w:val="32"/>
          <w:szCs w:val="32"/>
          <w:lang w:val="en-US"/>
        </w:rPr>
        <w:t xml:space="preserve"> </w:t>
      </w:r>
      <w:r w:rsidR="00507036">
        <w:rPr>
          <w:rFonts w:ascii="Elephant" w:hAnsi="Elephant" w:cs="Times New Roman"/>
          <w:color w:val="0000FF"/>
          <w:sz w:val="32"/>
          <w:szCs w:val="32"/>
          <w:lang w:val="en-US"/>
        </w:rPr>
        <w:t>Executive Summary</w:t>
      </w:r>
      <w:bookmarkEnd w:id="1"/>
    </w:p>
    <w:p w14:paraId="7D05BB21" w14:textId="4383D38F" w:rsidR="00A41A09" w:rsidRPr="00E9705A" w:rsidRDefault="00A41A09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This section </w:t>
      </w:r>
      <w:r w:rsidR="000209CE">
        <w:rPr>
          <w:rFonts w:ascii="Times New Roman" w:hAnsi="Times New Roman" w:cs="Times New Roman"/>
          <w:lang w:val="en-US"/>
        </w:rPr>
        <w:t xml:space="preserve">(excluding 1.2 below) </w:t>
      </w:r>
      <w:r w:rsidRPr="00E9705A">
        <w:rPr>
          <w:rFonts w:ascii="Times New Roman" w:hAnsi="Times New Roman" w:cs="Times New Roman"/>
          <w:lang w:val="en-US"/>
        </w:rPr>
        <w:t xml:space="preserve">should be contained </w:t>
      </w:r>
      <w:proofErr w:type="gramStart"/>
      <w:r w:rsidRPr="00E9705A">
        <w:rPr>
          <w:rFonts w:ascii="Times New Roman" w:hAnsi="Times New Roman" w:cs="Times New Roman"/>
          <w:lang w:val="en-US"/>
        </w:rPr>
        <w:t>on</w:t>
      </w:r>
      <w:proofErr w:type="gramEnd"/>
      <w:r w:rsidRPr="00E9705A">
        <w:rPr>
          <w:rFonts w:ascii="Times New Roman" w:hAnsi="Times New Roman" w:cs="Times New Roman"/>
          <w:lang w:val="en-US"/>
        </w:rPr>
        <w:t xml:space="preserve"> no more than </w:t>
      </w:r>
      <w:r w:rsidR="00C81256" w:rsidRPr="00E9705A">
        <w:rPr>
          <w:rFonts w:ascii="Times New Roman" w:hAnsi="Times New Roman" w:cs="Times New Roman"/>
          <w:lang w:val="en-US"/>
        </w:rPr>
        <w:t>t</w:t>
      </w:r>
      <w:r w:rsidR="0096137E" w:rsidRPr="00E9705A">
        <w:rPr>
          <w:rFonts w:ascii="Times New Roman" w:hAnsi="Times New Roman" w:cs="Times New Roman"/>
          <w:lang w:val="en-US"/>
        </w:rPr>
        <w:t>hree</w:t>
      </w:r>
      <w:r w:rsidR="00C81256" w:rsidRPr="00E9705A">
        <w:rPr>
          <w:rFonts w:ascii="Times New Roman" w:hAnsi="Times New Roman" w:cs="Times New Roman"/>
          <w:lang w:val="en-US"/>
        </w:rPr>
        <w:t xml:space="preserve"> (</w:t>
      </w:r>
      <w:r w:rsidR="0096137E" w:rsidRPr="00E9705A">
        <w:rPr>
          <w:rFonts w:ascii="Times New Roman" w:hAnsi="Times New Roman" w:cs="Times New Roman"/>
          <w:lang w:val="en-US"/>
        </w:rPr>
        <w:t>3</w:t>
      </w:r>
      <w:r w:rsidR="00C81256" w:rsidRPr="00E9705A">
        <w:rPr>
          <w:rFonts w:ascii="Times New Roman" w:hAnsi="Times New Roman" w:cs="Times New Roman"/>
          <w:lang w:val="en-US"/>
        </w:rPr>
        <w:t>)</w:t>
      </w:r>
      <w:r w:rsidRPr="00E9705A">
        <w:rPr>
          <w:rFonts w:ascii="Times New Roman" w:hAnsi="Times New Roman" w:cs="Times New Roman"/>
          <w:lang w:val="en-US"/>
        </w:rPr>
        <w:t xml:space="preserve"> page</w:t>
      </w:r>
      <w:r w:rsidR="00AD32C3" w:rsidRPr="00E9705A">
        <w:rPr>
          <w:rFonts w:ascii="Times New Roman" w:hAnsi="Times New Roman" w:cs="Times New Roman"/>
          <w:lang w:val="en-US"/>
        </w:rPr>
        <w:t>s</w:t>
      </w:r>
      <w:r w:rsidRPr="00E9705A">
        <w:rPr>
          <w:rFonts w:ascii="Times New Roman" w:hAnsi="Times New Roman" w:cs="Times New Roman"/>
          <w:lang w:val="en-US"/>
        </w:rPr>
        <w:t xml:space="preserve"> and include the following</w:t>
      </w:r>
      <w:r w:rsidR="00E91DC4" w:rsidRPr="00E9705A">
        <w:rPr>
          <w:rFonts w:ascii="Times New Roman" w:hAnsi="Times New Roman" w:cs="Times New Roman"/>
          <w:lang w:val="en-US"/>
        </w:rPr>
        <w:t xml:space="preserve"> information</w:t>
      </w:r>
      <w:r w:rsidRPr="00E9705A">
        <w:rPr>
          <w:rFonts w:ascii="Times New Roman" w:hAnsi="Times New Roman" w:cs="Times New Roman"/>
          <w:lang w:val="en-US"/>
        </w:rPr>
        <w:t>:</w:t>
      </w:r>
    </w:p>
    <w:p w14:paraId="47D7164C" w14:textId="22438B3E" w:rsidR="00A41A09" w:rsidRPr="00E9705A" w:rsidRDefault="00A41A09" w:rsidP="00AE68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A </w:t>
      </w:r>
      <w:r w:rsidR="00CD0A45" w:rsidRPr="00E9705A">
        <w:rPr>
          <w:rFonts w:ascii="Times New Roman" w:hAnsi="Times New Roman" w:cs="Times New Roman"/>
          <w:lang w:val="en-US"/>
        </w:rPr>
        <w:t xml:space="preserve">high-level </w:t>
      </w:r>
      <w:r w:rsidRPr="00E9705A">
        <w:rPr>
          <w:rFonts w:ascii="Times New Roman" w:hAnsi="Times New Roman" w:cs="Times New Roman"/>
          <w:lang w:val="en-US"/>
        </w:rPr>
        <w:t xml:space="preserve">summary of the Ministry’s performance for the quarter </w:t>
      </w:r>
      <w:r w:rsidR="00E178A0">
        <w:rPr>
          <w:rFonts w:ascii="Times New Roman" w:hAnsi="Times New Roman" w:cs="Times New Roman"/>
          <w:lang w:val="en-US"/>
        </w:rPr>
        <w:t>under review and year-to-date</w:t>
      </w:r>
      <w:r w:rsidRPr="00E9705A">
        <w:rPr>
          <w:rFonts w:ascii="Times New Roman" w:hAnsi="Times New Roman" w:cs="Times New Roman"/>
          <w:lang w:val="en-US"/>
        </w:rPr>
        <w:t xml:space="preserve">. Identify </w:t>
      </w:r>
      <w:r w:rsidR="00E178A0">
        <w:rPr>
          <w:rFonts w:ascii="Times New Roman" w:hAnsi="Times New Roman" w:cs="Times New Roman"/>
          <w:lang w:val="en-US"/>
        </w:rPr>
        <w:t xml:space="preserve">the status of </w:t>
      </w:r>
      <w:r w:rsidR="00AE687F" w:rsidRPr="00E9705A">
        <w:rPr>
          <w:rFonts w:ascii="Times New Roman" w:hAnsi="Times New Roman" w:cs="Times New Roman"/>
          <w:lang w:val="en-US"/>
        </w:rPr>
        <w:t>KEY OUTPUTS</w:t>
      </w:r>
      <w:r w:rsidRPr="00E9705A">
        <w:rPr>
          <w:rFonts w:ascii="Times New Roman" w:hAnsi="Times New Roman" w:cs="Times New Roman"/>
          <w:lang w:val="en-US"/>
        </w:rPr>
        <w:t xml:space="preserve"> </w:t>
      </w:r>
      <w:r w:rsidR="00E178A0">
        <w:rPr>
          <w:rFonts w:ascii="Times New Roman" w:hAnsi="Times New Roman" w:cs="Times New Roman"/>
          <w:lang w:val="en-US"/>
        </w:rPr>
        <w:t>against planned performance targets</w:t>
      </w:r>
      <w:r w:rsidR="00656491">
        <w:rPr>
          <w:rFonts w:ascii="Times New Roman" w:hAnsi="Times New Roman" w:cs="Times New Roman"/>
          <w:lang w:val="en-US"/>
        </w:rPr>
        <w:t xml:space="preserve"> including actual expenditure against budget.</w:t>
      </w:r>
    </w:p>
    <w:p w14:paraId="785E8DE2" w14:textId="6455B208" w:rsidR="00A41A09" w:rsidRPr="00E9705A" w:rsidRDefault="00A41A09" w:rsidP="00AE68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Variance Explanation </w:t>
      </w:r>
      <w:r w:rsidR="00E068ED" w:rsidRPr="00E9705A">
        <w:rPr>
          <w:rFonts w:ascii="Times New Roman" w:hAnsi="Times New Roman" w:cs="Times New Roman"/>
          <w:lang w:val="en-US"/>
        </w:rPr>
        <w:t>–</w:t>
      </w:r>
      <w:r w:rsidRPr="00E9705A">
        <w:rPr>
          <w:rFonts w:ascii="Times New Roman" w:hAnsi="Times New Roman" w:cs="Times New Roman"/>
          <w:lang w:val="en-US"/>
        </w:rPr>
        <w:t xml:space="preserve"> </w:t>
      </w:r>
      <w:r w:rsidR="00E068ED" w:rsidRPr="00E9705A">
        <w:rPr>
          <w:rFonts w:ascii="Times New Roman" w:hAnsi="Times New Roman" w:cs="Times New Roman"/>
          <w:lang w:val="en-US"/>
        </w:rPr>
        <w:t xml:space="preserve">a </w:t>
      </w:r>
      <w:r w:rsidRPr="00E9705A">
        <w:rPr>
          <w:rFonts w:ascii="Times New Roman" w:hAnsi="Times New Roman" w:cs="Times New Roman"/>
          <w:lang w:val="en-US"/>
        </w:rPr>
        <w:t xml:space="preserve">summary of the factors accounting for </w:t>
      </w:r>
      <w:r w:rsidR="00656491">
        <w:rPr>
          <w:rFonts w:ascii="Times New Roman" w:hAnsi="Times New Roman" w:cs="Times New Roman"/>
          <w:lang w:val="en-US"/>
        </w:rPr>
        <w:t xml:space="preserve">major (±30%) </w:t>
      </w:r>
      <w:r w:rsidRPr="00E9705A">
        <w:rPr>
          <w:rFonts w:ascii="Times New Roman" w:hAnsi="Times New Roman" w:cs="Times New Roman"/>
          <w:lang w:val="en-US"/>
        </w:rPr>
        <w:t>under</w:t>
      </w:r>
      <w:r w:rsidR="00E178A0">
        <w:rPr>
          <w:rFonts w:ascii="Times New Roman" w:hAnsi="Times New Roman" w:cs="Times New Roman"/>
          <w:lang w:val="en-US"/>
        </w:rPr>
        <w:t>/over</w:t>
      </w:r>
      <w:r w:rsidRPr="00E9705A">
        <w:rPr>
          <w:rFonts w:ascii="Times New Roman" w:hAnsi="Times New Roman" w:cs="Times New Roman"/>
          <w:lang w:val="en-US"/>
        </w:rPr>
        <w:t>performance during the period</w:t>
      </w:r>
      <w:r w:rsidR="00E178A0">
        <w:rPr>
          <w:rFonts w:ascii="Times New Roman" w:hAnsi="Times New Roman" w:cs="Times New Roman"/>
          <w:lang w:val="en-US"/>
        </w:rPr>
        <w:t>.</w:t>
      </w:r>
    </w:p>
    <w:p w14:paraId="09D6278D" w14:textId="7C937B1C" w:rsidR="00A41A09" w:rsidRPr="00E9705A" w:rsidRDefault="00A41A09" w:rsidP="00AE68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Mitigating Strategies – </w:t>
      </w:r>
      <w:r w:rsidR="00E068ED" w:rsidRPr="00E9705A">
        <w:rPr>
          <w:rFonts w:ascii="Times New Roman" w:hAnsi="Times New Roman" w:cs="Times New Roman"/>
          <w:lang w:val="en-US"/>
        </w:rPr>
        <w:t>a</w:t>
      </w:r>
      <w:r w:rsidRPr="00E9705A">
        <w:rPr>
          <w:rFonts w:ascii="Times New Roman" w:hAnsi="Times New Roman" w:cs="Times New Roman"/>
          <w:lang w:val="en-US"/>
        </w:rPr>
        <w:t xml:space="preserve"> summary of the major response strategies the Ministry intends to implement </w:t>
      </w:r>
      <w:r w:rsidR="0089129B" w:rsidRPr="00E9705A">
        <w:rPr>
          <w:rFonts w:ascii="Times New Roman" w:hAnsi="Times New Roman" w:cs="Times New Roman"/>
          <w:lang w:val="en-US"/>
        </w:rPr>
        <w:t>in upcoming periods</w:t>
      </w:r>
      <w:r w:rsidR="00656491">
        <w:rPr>
          <w:rFonts w:ascii="Times New Roman" w:hAnsi="Times New Roman" w:cs="Times New Roman"/>
          <w:lang w:val="en-US"/>
        </w:rPr>
        <w:t>, especially</w:t>
      </w:r>
      <w:r w:rsidR="0089129B" w:rsidRPr="00E9705A">
        <w:rPr>
          <w:rFonts w:ascii="Times New Roman" w:hAnsi="Times New Roman" w:cs="Times New Roman"/>
          <w:lang w:val="en-US"/>
        </w:rPr>
        <w:t xml:space="preserve"> </w:t>
      </w:r>
      <w:r w:rsidRPr="00E9705A">
        <w:rPr>
          <w:rFonts w:ascii="Times New Roman" w:hAnsi="Times New Roman" w:cs="Times New Roman"/>
          <w:lang w:val="en-US"/>
        </w:rPr>
        <w:t xml:space="preserve">towards addressing the variances identified </w:t>
      </w:r>
      <w:r w:rsidR="003A53A0" w:rsidRPr="00E9705A">
        <w:rPr>
          <w:rFonts w:ascii="Times New Roman" w:hAnsi="Times New Roman" w:cs="Times New Roman"/>
          <w:lang w:val="en-US"/>
        </w:rPr>
        <w:t xml:space="preserve">in #2 </w:t>
      </w:r>
      <w:r w:rsidRPr="00E9705A">
        <w:rPr>
          <w:rFonts w:ascii="Times New Roman" w:hAnsi="Times New Roman" w:cs="Times New Roman"/>
          <w:lang w:val="en-US"/>
        </w:rPr>
        <w:t>above.</w:t>
      </w:r>
    </w:p>
    <w:p w14:paraId="4779BDF7" w14:textId="77D6344F" w:rsidR="00A41A09" w:rsidRPr="00E9705A" w:rsidRDefault="00A41A09" w:rsidP="00AE68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A summary of the recommendations made by the Office of the Cabinet </w:t>
      </w:r>
      <w:proofErr w:type="gramStart"/>
      <w:r w:rsidRPr="00E9705A">
        <w:rPr>
          <w:rFonts w:ascii="Times New Roman" w:hAnsi="Times New Roman" w:cs="Times New Roman"/>
          <w:lang w:val="en-US"/>
        </w:rPr>
        <w:t>in</w:t>
      </w:r>
      <w:proofErr w:type="gramEnd"/>
      <w:r w:rsidRPr="00E9705A">
        <w:rPr>
          <w:rFonts w:ascii="Times New Roman" w:hAnsi="Times New Roman" w:cs="Times New Roman"/>
          <w:lang w:val="en-US"/>
        </w:rPr>
        <w:t xml:space="preserve"> performance assessments </w:t>
      </w:r>
      <w:r w:rsidR="00DE4428" w:rsidRPr="00E9705A">
        <w:rPr>
          <w:rFonts w:ascii="Times New Roman" w:hAnsi="Times New Roman" w:cs="Times New Roman"/>
          <w:lang w:val="en-US"/>
        </w:rPr>
        <w:t xml:space="preserve">during the previous </w:t>
      </w:r>
      <w:r w:rsidR="00AD0A21" w:rsidRPr="00E9705A">
        <w:rPr>
          <w:rFonts w:ascii="Times New Roman" w:hAnsi="Times New Roman" w:cs="Times New Roman"/>
          <w:lang w:val="en-US"/>
        </w:rPr>
        <w:t xml:space="preserve">and current </w:t>
      </w:r>
      <w:r w:rsidRPr="00E9705A">
        <w:rPr>
          <w:rFonts w:ascii="Times New Roman" w:hAnsi="Times New Roman" w:cs="Times New Roman"/>
          <w:lang w:val="en-US"/>
        </w:rPr>
        <w:t>financial year</w:t>
      </w:r>
      <w:r w:rsidR="00AD0A21" w:rsidRPr="00E9705A">
        <w:rPr>
          <w:rFonts w:ascii="Times New Roman" w:hAnsi="Times New Roman" w:cs="Times New Roman"/>
          <w:lang w:val="en-US"/>
        </w:rPr>
        <w:t>s</w:t>
      </w:r>
      <w:r w:rsidRPr="00E9705A">
        <w:rPr>
          <w:rFonts w:ascii="Times New Roman" w:hAnsi="Times New Roman" w:cs="Times New Roman"/>
          <w:lang w:val="en-US"/>
        </w:rPr>
        <w:t xml:space="preserve">, and a status update on what has been done </w:t>
      </w:r>
      <w:r w:rsidR="0089129B" w:rsidRPr="00E9705A">
        <w:rPr>
          <w:rFonts w:ascii="Times New Roman" w:hAnsi="Times New Roman" w:cs="Times New Roman"/>
          <w:lang w:val="en-US"/>
        </w:rPr>
        <w:t xml:space="preserve">to date </w:t>
      </w:r>
      <w:r w:rsidRPr="00E9705A">
        <w:rPr>
          <w:rFonts w:ascii="Times New Roman" w:hAnsi="Times New Roman" w:cs="Times New Roman"/>
          <w:lang w:val="en-US"/>
        </w:rPr>
        <w:t>to incorporate the</w:t>
      </w:r>
      <w:r w:rsidR="00AD32C3" w:rsidRPr="00E9705A">
        <w:rPr>
          <w:rFonts w:ascii="Times New Roman" w:hAnsi="Times New Roman" w:cs="Times New Roman"/>
          <w:lang w:val="en-US"/>
        </w:rPr>
        <w:t>se</w:t>
      </w:r>
      <w:r w:rsidRPr="00E9705A">
        <w:rPr>
          <w:rFonts w:ascii="Times New Roman" w:hAnsi="Times New Roman" w:cs="Times New Roman"/>
          <w:lang w:val="en-US"/>
        </w:rPr>
        <w:t xml:space="preserve"> recommendations, using the following matrix:</w:t>
      </w:r>
    </w:p>
    <w:p w14:paraId="6A84F3DD" w14:textId="07A9DF9B" w:rsidR="00940C2C" w:rsidRPr="00E9705A" w:rsidRDefault="00E9705A" w:rsidP="00940C2C">
      <w:pPr>
        <w:pStyle w:val="Heading2"/>
        <w:rPr>
          <w:rFonts w:ascii="Elephant" w:hAnsi="Elephant" w:cs="Times New Roman"/>
          <w:color w:val="0000FF"/>
          <w:lang w:val="en-US"/>
        </w:rPr>
      </w:pPr>
      <w:bookmarkStart w:id="2" w:name="_Toc223953902"/>
      <w:r w:rsidRPr="00E9705A">
        <w:rPr>
          <w:rFonts w:ascii="Elephant" w:hAnsi="Elephant" w:cs="Times New Roman"/>
          <w:color w:val="0000FF"/>
          <w:lang w:val="en-US"/>
        </w:rPr>
        <w:t>1.</w:t>
      </w:r>
      <w:r w:rsidR="00E92727">
        <w:rPr>
          <w:rFonts w:ascii="Elephant" w:hAnsi="Elephant" w:cs="Times New Roman"/>
          <w:color w:val="0000FF"/>
          <w:lang w:val="en-US"/>
        </w:rPr>
        <w:t>2</w:t>
      </w:r>
      <w:r w:rsidRPr="00E9705A">
        <w:rPr>
          <w:rFonts w:ascii="Elephant" w:hAnsi="Elephant" w:cs="Times New Roman"/>
          <w:color w:val="0000FF"/>
          <w:lang w:val="en-US"/>
        </w:rPr>
        <w:t xml:space="preserve"> </w:t>
      </w:r>
      <w:r w:rsidR="00940C2C" w:rsidRPr="00E9705A">
        <w:rPr>
          <w:rFonts w:ascii="Elephant" w:hAnsi="Elephant" w:cs="Times New Roman"/>
          <w:color w:val="0000FF"/>
          <w:lang w:val="en-US"/>
        </w:rPr>
        <w:t>Recommendations Review Matrix</w:t>
      </w:r>
      <w:bookmarkEnd w:id="2"/>
    </w:p>
    <w:tbl>
      <w:tblPr>
        <w:tblStyle w:val="TableGrid"/>
        <w:tblW w:w="11174" w:type="dxa"/>
        <w:jc w:val="center"/>
        <w:tblLook w:val="04A0" w:firstRow="1" w:lastRow="0" w:firstColumn="1" w:lastColumn="0" w:noHBand="0" w:noVBand="1"/>
      </w:tblPr>
      <w:tblGrid>
        <w:gridCol w:w="553"/>
        <w:gridCol w:w="2216"/>
        <w:gridCol w:w="2204"/>
        <w:gridCol w:w="1878"/>
        <w:gridCol w:w="1695"/>
        <w:gridCol w:w="2628"/>
      </w:tblGrid>
      <w:tr w:rsidR="00CC7DA2" w:rsidRPr="00E9705A" w14:paraId="7CCAF728" w14:textId="77777777" w:rsidTr="001D3B38">
        <w:trPr>
          <w:trHeight w:val="533"/>
          <w:jc w:val="center"/>
        </w:trPr>
        <w:tc>
          <w:tcPr>
            <w:tcW w:w="554" w:type="dxa"/>
            <w:shd w:val="clear" w:color="auto" w:fill="6600FF"/>
          </w:tcPr>
          <w:p w14:paraId="6CC5B615" w14:textId="32942DD2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No</w:t>
            </w:r>
          </w:p>
        </w:tc>
        <w:tc>
          <w:tcPr>
            <w:tcW w:w="2216" w:type="dxa"/>
            <w:shd w:val="clear" w:color="auto" w:fill="6600FF"/>
          </w:tcPr>
          <w:p w14:paraId="16F87593" w14:textId="534A8463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Recommendation</w:t>
            </w:r>
          </w:p>
        </w:tc>
        <w:tc>
          <w:tcPr>
            <w:tcW w:w="2204" w:type="dxa"/>
            <w:shd w:val="clear" w:color="auto" w:fill="6600FF"/>
          </w:tcPr>
          <w:p w14:paraId="54C350A2" w14:textId="18C2C43F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Date of Performance Assessment</w:t>
            </w:r>
          </w:p>
        </w:tc>
        <w:tc>
          <w:tcPr>
            <w:tcW w:w="1878" w:type="dxa"/>
            <w:shd w:val="clear" w:color="auto" w:fill="6600FF"/>
          </w:tcPr>
          <w:p w14:paraId="63F93496" w14:textId="4416334D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Status</w:t>
            </w:r>
          </w:p>
        </w:tc>
        <w:tc>
          <w:tcPr>
            <w:tcW w:w="1693" w:type="dxa"/>
            <w:shd w:val="clear" w:color="auto" w:fill="6600FF"/>
          </w:tcPr>
          <w:p w14:paraId="21EAB686" w14:textId="6C660331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Expected Completion Date</w:t>
            </w:r>
          </w:p>
        </w:tc>
        <w:tc>
          <w:tcPr>
            <w:tcW w:w="2629" w:type="dxa"/>
            <w:shd w:val="clear" w:color="auto" w:fill="6600FF"/>
          </w:tcPr>
          <w:p w14:paraId="6A63413F" w14:textId="59AB766A" w:rsidR="00CC7DA2" w:rsidRPr="00E9705A" w:rsidRDefault="00CC7DA2" w:rsidP="00AD0A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Comments</w:t>
            </w:r>
          </w:p>
        </w:tc>
      </w:tr>
      <w:tr w:rsidR="00CC7DA2" w:rsidRPr="00E9705A" w14:paraId="6416EAED" w14:textId="77777777" w:rsidTr="001D3B38">
        <w:trPr>
          <w:cantSplit/>
          <w:trHeight w:val="1860"/>
          <w:jc w:val="center"/>
        </w:trPr>
        <w:tc>
          <w:tcPr>
            <w:tcW w:w="554" w:type="dxa"/>
            <w:textDirection w:val="btLr"/>
          </w:tcPr>
          <w:p w14:paraId="7EC02D16" w14:textId="61C7FA94" w:rsidR="00CC7DA2" w:rsidRPr="00E9705A" w:rsidRDefault="00D415DC" w:rsidP="00E565A9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Delete this row</w:t>
            </w:r>
          </w:p>
        </w:tc>
        <w:tc>
          <w:tcPr>
            <w:tcW w:w="2216" w:type="dxa"/>
          </w:tcPr>
          <w:p w14:paraId="1178C19B" w14:textId="5916A7F1" w:rsidR="00CC7DA2" w:rsidRPr="00E9705A" w:rsidRDefault="00CC7DA2" w:rsidP="00172D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[State verbatim the recommendations made by the Office of the Cabinet in its recent performance assessments</w:t>
            </w:r>
            <w:r w:rsidR="00D01AAA">
              <w:rPr>
                <w:rFonts w:ascii="Times New Roman" w:hAnsi="Times New Roman" w:cs="Times New Roman"/>
                <w:color w:val="3333FF"/>
                <w:lang w:val="en-US"/>
              </w:rPr>
              <w:t xml:space="preserve"> as well as those </w:t>
            </w:r>
            <w:r w:rsidR="00287406">
              <w:rPr>
                <w:rFonts w:ascii="Times New Roman" w:hAnsi="Times New Roman" w:cs="Times New Roman"/>
                <w:color w:val="3333FF"/>
                <w:lang w:val="en-US"/>
              </w:rPr>
              <w:t>from earlier assessments that are</w:t>
            </w:r>
            <w:r w:rsidR="00D01AAA">
              <w:rPr>
                <w:rFonts w:ascii="Times New Roman" w:hAnsi="Times New Roman" w:cs="Times New Roman"/>
                <w:color w:val="3333FF"/>
                <w:lang w:val="en-US"/>
              </w:rPr>
              <w:t xml:space="preserve"> yet to be </w:t>
            </w:r>
            <w:r w:rsidR="00082223">
              <w:rPr>
                <w:rFonts w:ascii="Times New Roman" w:hAnsi="Times New Roman" w:cs="Times New Roman"/>
                <w:color w:val="3333FF"/>
                <w:lang w:val="en-US"/>
              </w:rPr>
              <w:t>incorporated</w:t>
            </w:r>
            <w:r w:rsidR="00E410B1">
              <w:rPr>
                <w:rFonts w:ascii="Times New Roman" w:hAnsi="Times New Roman" w:cs="Times New Roman"/>
                <w:color w:val="3333FF"/>
                <w:lang w:val="en-US"/>
              </w:rPr>
              <w:t>/ completed</w:t>
            </w:r>
            <w:r w:rsidR="008D17C1">
              <w:rPr>
                <w:rFonts w:ascii="Times New Roman" w:hAnsi="Times New Roman" w:cs="Times New Roman"/>
                <w:color w:val="3333FF"/>
                <w:lang w:val="en-US"/>
              </w:rPr>
              <w:t>.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]</w:t>
            </w:r>
          </w:p>
        </w:tc>
        <w:tc>
          <w:tcPr>
            <w:tcW w:w="2204" w:type="dxa"/>
          </w:tcPr>
          <w:p w14:paraId="60A80563" w14:textId="03C1F8AC" w:rsidR="00CC7DA2" w:rsidRPr="00E9705A" w:rsidRDefault="00CC7DA2" w:rsidP="00172D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 xml:space="preserve">[State here the date of the performance assessment prepared by the Office of the Cabinet which </w:t>
            </w:r>
            <w:r w:rsidR="00082223" w:rsidRPr="00E9705A">
              <w:rPr>
                <w:rFonts w:ascii="Times New Roman" w:hAnsi="Times New Roman" w:cs="Times New Roman"/>
                <w:color w:val="3333FF"/>
                <w:lang w:val="en-US"/>
              </w:rPr>
              <w:t>contains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 xml:space="preserve"> the recommendation</w:t>
            </w:r>
            <w:r w:rsidR="001869D5">
              <w:rPr>
                <w:rFonts w:ascii="Times New Roman" w:hAnsi="Times New Roman" w:cs="Times New Roman"/>
                <w:color w:val="3333FF"/>
                <w:lang w:val="en-US"/>
              </w:rPr>
              <w:t>, and the</w:t>
            </w:r>
            <w:r w:rsidR="009E4AC3">
              <w:rPr>
                <w:rFonts w:ascii="Times New Roman" w:hAnsi="Times New Roman" w:cs="Times New Roman"/>
                <w:color w:val="3333FF"/>
                <w:lang w:val="en-US"/>
              </w:rPr>
              <w:t xml:space="preserve"> reporting </w:t>
            </w:r>
            <w:r w:rsidR="00E10668">
              <w:rPr>
                <w:rFonts w:ascii="Times New Roman" w:hAnsi="Times New Roman" w:cs="Times New Roman"/>
                <w:color w:val="3333FF"/>
                <w:lang w:val="en-US"/>
              </w:rPr>
              <w:t xml:space="preserve">period </w:t>
            </w:r>
            <w:r w:rsidR="0040015F">
              <w:rPr>
                <w:rFonts w:ascii="Times New Roman" w:hAnsi="Times New Roman" w:cs="Times New Roman"/>
                <w:color w:val="3333FF"/>
                <w:lang w:val="en-US"/>
              </w:rPr>
              <w:t>review</w:t>
            </w:r>
            <w:r w:rsidR="009E4AC3">
              <w:rPr>
                <w:rFonts w:ascii="Times New Roman" w:hAnsi="Times New Roman" w:cs="Times New Roman"/>
                <w:color w:val="3333FF"/>
                <w:lang w:val="en-US"/>
              </w:rPr>
              <w:t>ed in th</w:t>
            </w:r>
            <w:r w:rsidR="00340337">
              <w:rPr>
                <w:rFonts w:ascii="Times New Roman" w:hAnsi="Times New Roman" w:cs="Times New Roman"/>
                <w:color w:val="3333FF"/>
                <w:lang w:val="en-US"/>
              </w:rPr>
              <w:t>is</w:t>
            </w:r>
            <w:r w:rsidR="009E4AC3">
              <w:rPr>
                <w:rFonts w:ascii="Times New Roman" w:hAnsi="Times New Roman" w:cs="Times New Roman"/>
                <w:color w:val="3333FF"/>
                <w:lang w:val="en-US"/>
              </w:rPr>
              <w:t xml:space="preserve"> assessment.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]</w:t>
            </w:r>
          </w:p>
        </w:tc>
        <w:tc>
          <w:tcPr>
            <w:tcW w:w="1878" w:type="dxa"/>
          </w:tcPr>
          <w:p w14:paraId="3528F057" w14:textId="4894A37F" w:rsidR="00CC7DA2" w:rsidRPr="00E9705A" w:rsidRDefault="00CC7DA2" w:rsidP="00172D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[Th</w:t>
            </w:r>
            <w:r w:rsidR="00CD0A45" w:rsidRPr="00E9705A">
              <w:rPr>
                <w:rFonts w:ascii="Times New Roman" w:hAnsi="Times New Roman" w:cs="Times New Roman"/>
                <w:color w:val="3333FF"/>
                <w:lang w:val="en-US"/>
              </w:rPr>
              <w:t>is column should contain only one of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 xml:space="preserve"> these phrases</w:t>
            </w:r>
            <w:r w:rsidR="00CD0A45" w:rsidRPr="00E9705A">
              <w:rPr>
                <w:rFonts w:ascii="Times New Roman" w:hAnsi="Times New Roman" w:cs="Times New Roman"/>
                <w:color w:val="3333FF"/>
                <w:lang w:val="en-US"/>
              </w:rPr>
              <w:t xml:space="preserve"> for each recommendation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:</w:t>
            </w:r>
          </w:p>
          <w:p w14:paraId="34B63D9F" w14:textId="1DB31557" w:rsidR="00CC7DA2" w:rsidRPr="00E9705A" w:rsidRDefault="00CC7DA2" w:rsidP="00172D82">
            <w:pPr>
              <w:pStyle w:val="ListParagraph"/>
              <w:numPr>
                <w:ilvl w:val="0"/>
                <w:numId w:val="3"/>
              </w:numPr>
              <w:ind w:left="220" w:hanging="218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No Progress</w:t>
            </w:r>
          </w:p>
          <w:p w14:paraId="4F7031DF" w14:textId="77777777" w:rsidR="00CC7DA2" w:rsidRDefault="00CC7DA2" w:rsidP="00172D82">
            <w:pPr>
              <w:pStyle w:val="ListParagraph"/>
              <w:numPr>
                <w:ilvl w:val="0"/>
                <w:numId w:val="3"/>
              </w:numPr>
              <w:ind w:left="220" w:hanging="218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Work-In-Progress</w:t>
            </w:r>
          </w:p>
          <w:p w14:paraId="43D648B5" w14:textId="6B5EFC32" w:rsidR="00FE7F43" w:rsidRPr="00E9705A" w:rsidRDefault="00FE7F43" w:rsidP="00172D82">
            <w:pPr>
              <w:pStyle w:val="ListParagraph"/>
              <w:numPr>
                <w:ilvl w:val="0"/>
                <w:numId w:val="3"/>
              </w:numPr>
              <w:ind w:left="220" w:hanging="218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>
              <w:rPr>
                <w:rFonts w:ascii="Times New Roman" w:hAnsi="Times New Roman" w:cs="Times New Roman"/>
                <w:color w:val="3333FF"/>
                <w:lang w:val="en-US"/>
              </w:rPr>
              <w:t>Not Yet Due</w:t>
            </w:r>
          </w:p>
          <w:p w14:paraId="28E39C01" w14:textId="26BC53AC" w:rsidR="00CC7DA2" w:rsidRPr="00E9705A" w:rsidRDefault="00CC7DA2" w:rsidP="00172D82">
            <w:pPr>
              <w:pStyle w:val="ListParagraph"/>
              <w:numPr>
                <w:ilvl w:val="0"/>
                <w:numId w:val="3"/>
              </w:numPr>
              <w:ind w:left="220" w:hanging="218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Completed]</w:t>
            </w:r>
          </w:p>
        </w:tc>
        <w:tc>
          <w:tcPr>
            <w:tcW w:w="1693" w:type="dxa"/>
          </w:tcPr>
          <w:p w14:paraId="07CDF8A5" w14:textId="350BCDB2" w:rsidR="00CC7DA2" w:rsidRPr="00E9705A" w:rsidRDefault="00CC7DA2" w:rsidP="00172D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[State here the expected date of fully incorporating</w:t>
            </w:r>
            <w:r w:rsidR="00CD0A45" w:rsidRPr="00E9705A">
              <w:rPr>
                <w:rFonts w:ascii="Times New Roman" w:hAnsi="Times New Roman" w:cs="Times New Roman"/>
                <w:color w:val="3333FF"/>
                <w:lang w:val="en-US"/>
              </w:rPr>
              <w:t>/ completing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 xml:space="preserve"> the recommendation and reflecting same in the next report.]</w:t>
            </w:r>
          </w:p>
        </w:tc>
        <w:tc>
          <w:tcPr>
            <w:tcW w:w="2629" w:type="dxa"/>
          </w:tcPr>
          <w:p w14:paraId="3EE4A190" w14:textId="6EAC0A5E" w:rsidR="00CC7DA2" w:rsidRPr="00E9705A" w:rsidRDefault="00CC7DA2" w:rsidP="00172D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3333FF"/>
                <w:lang w:val="en-US"/>
              </w:rPr>
            </w:pP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[Briefly state the work done to date towards incorporating the recommendation</w:t>
            </w:r>
            <w:r w:rsidR="00F93B84">
              <w:rPr>
                <w:rFonts w:ascii="Times New Roman" w:hAnsi="Times New Roman" w:cs="Times New Roman"/>
                <w:color w:val="3333FF"/>
                <w:lang w:val="en-US"/>
              </w:rPr>
              <w:t xml:space="preserve"> or any other comments</w:t>
            </w:r>
            <w:r w:rsidR="008D17C1">
              <w:rPr>
                <w:rFonts w:ascii="Times New Roman" w:hAnsi="Times New Roman" w:cs="Times New Roman"/>
                <w:color w:val="3333FF"/>
                <w:lang w:val="en-US"/>
              </w:rPr>
              <w:t>.</w:t>
            </w:r>
            <w:r w:rsidRPr="00E9705A">
              <w:rPr>
                <w:rFonts w:ascii="Times New Roman" w:hAnsi="Times New Roman" w:cs="Times New Roman"/>
                <w:color w:val="3333FF"/>
                <w:lang w:val="en-US"/>
              </w:rPr>
              <w:t>]</w:t>
            </w:r>
          </w:p>
        </w:tc>
      </w:tr>
      <w:tr w:rsidR="00CC7DA2" w:rsidRPr="00E9705A" w14:paraId="3D938364" w14:textId="77777777" w:rsidTr="001D3B38">
        <w:trPr>
          <w:trHeight w:val="266"/>
          <w:jc w:val="center"/>
        </w:trPr>
        <w:tc>
          <w:tcPr>
            <w:tcW w:w="554" w:type="dxa"/>
          </w:tcPr>
          <w:p w14:paraId="5133E5A3" w14:textId="77777777" w:rsidR="00CC7DA2" w:rsidRPr="00E9705A" w:rsidRDefault="00CC7DA2" w:rsidP="00CC7D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</w:tcPr>
          <w:p w14:paraId="5E3F693A" w14:textId="2D8E8FEB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Include budgets and expenditure at the sub-programme level</w:t>
            </w:r>
          </w:p>
        </w:tc>
        <w:tc>
          <w:tcPr>
            <w:tcW w:w="2204" w:type="dxa"/>
          </w:tcPr>
          <w:p w14:paraId="085D8CB0" w14:textId="77777777" w:rsidR="00CC7DA2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November 20, 2023</w:t>
            </w:r>
            <w:r w:rsidR="00E10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41B4BBD3" w14:textId="14C7B10C" w:rsidR="00E10668" w:rsidRPr="00E9705A" w:rsidRDefault="00B97844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2023/24 Q2</w:t>
            </w:r>
          </w:p>
        </w:tc>
        <w:tc>
          <w:tcPr>
            <w:tcW w:w="1878" w:type="dxa"/>
            <w:shd w:val="clear" w:color="auto" w:fill="A6A6A6" w:themeFill="background1" w:themeFillShade="A6"/>
          </w:tcPr>
          <w:p w14:paraId="4D965AC1" w14:textId="4963EE8C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Work-In-Progress</w:t>
            </w:r>
          </w:p>
        </w:tc>
        <w:tc>
          <w:tcPr>
            <w:tcW w:w="1693" w:type="dxa"/>
          </w:tcPr>
          <w:p w14:paraId="40D2731A" w14:textId="6490DDCC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October 16, 2024</w:t>
            </w:r>
          </w:p>
        </w:tc>
        <w:tc>
          <w:tcPr>
            <w:tcW w:w="2629" w:type="dxa"/>
          </w:tcPr>
          <w:p w14:paraId="1C24746F" w14:textId="5624D8D1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Meetings with the </w:t>
            </w:r>
            <w:r w:rsidR="005A4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finance department</w:t>
            </w:r>
            <w:r w:rsidR="004B7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B7B15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commenced towards providing financial data at the sub-programme level</w:t>
            </w:r>
            <w:r w:rsidR="004B7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 the next report.</w:t>
            </w:r>
          </w:p>
        </w:tc>
      </w:tr>
      <w:tr w:rsidR="00CC7DA2" w:rsidRPr="00E9705A" w14:paraId="35CDB7D1" w14:textId="77777777" w:rsidTr="001D3B38">
        <w:trPr>
          <w:trHeight w:val="256"/>
          <w:jc w:val="center"/>
        </w:trPr>
        <w:tc>
          <w:tcPr>
            <w:tcW w:w="554" w:type="dxa"/>
          </w:tcPr>
          <w:p w14:paraId="70D8F5E1" w14:textId="77777777" w:rsidR="00CC7DA2" w:rsidRPr="00E9705A" w:rsidRDefault="00CC7DA2" w:rsidP="00CC7D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</w:tcPr>
          <w:p w14:paraId="5F246E97" w14:textId="3CCE9680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Provide variance explanation and mitigating strategies for unmet targets </w:t>
            </w:r>
          </w:p>
        </w:tc>
        <w:tc>
          <w:tcPr>
            <w:tcW w:w="2204" w:type="dxa"/>
          </w:tcPr>
          <w:p w14:paraId="74FE2800" w14:textId="77777777" w:rsidR="00CC7DA2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November 20, 2023</w:t>
            </w:r>
            <w:r w:rsidR="00B978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3B379D7" w14:textId="263D6ECE" w:rsidR="00B97844" w:rsidRPr="00E9705A" w:rsidRDefault="00B97844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2023/24 Q2</w:t>
            </w:r>
          </w:p>
        </w:tc>
        <w:tc>
          <w:tcPr>
            <w:tcW w:w="1878" w:type="dxa"/>
            <w:shd w:val="clear" w:color="auto" w:fill="6600FF"/>
          </w:tcPr>
          <w:p w14:paraId="6755DE8E" w14:textId="4A4FB3AC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693" w:type="dxa"/>
          </w:tcPr>
          <w:p w14:paraId="7BDBA502" w14:textId="01020953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July 20, 2024</w:t>
            </w:r>
          </w:p>
        </w:tc>
        <w:tc>
          <w:tcPr>
            <w:tcW w:w="2629" w:type="dxa"/>
          </w:tcPr>
          <w:p w14:paraId="6447E94A" w14:textId="3F40F68C" w:rsidR="00CC7DA2" w:rsidRPr="00E9705A" w:rsidRDefault="00CC7DA2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recommendation was incorporated in the current report.</w:t>
            </w:r>
          </w:p>
        </w:tc>
      </w:tr>
      <w:tr w:rsidR="00CC7DA2" w:rsidRPr="00E9705A" w14:paraId="112257DC" w14:textId="77777777" w:rsidTr="001D3B38">
        <w:trPr>
          <w:trHeight w:val="266"/>
          <w:jc w:val="center"/>
        </w:trPr>
        <w:tc>
          <w:tcPr>
            <w:tcW w:w="554" w:type="dxa"/>
          </w:tcPr>
          <w:p w14:paraId="7AE63A3B" w14:textId="77777777" w:rsidR="00CC7DA2" w:rsidRPr="00E9705A" w:rsidRDefault="00CC7DA2" w:rsidP="00CC7D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</w:tcPr>
          <w:p w14:paraId="30119109" w14:textId="0EDCE2FB" w:rsidR="00CC7DA2" w:rsidRPr="00E9705A" w:rsidRDefault="001F6E31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Evaluate </w:t>
            </w:r>
            <w:r w:rsidR="003B23D2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5204AC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 sector</w:t>
            </w:r>
            <w:r w:rsidR="003B23D2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’s</w:t>
            </w:r>
            <w:r w:rsidR="005204AC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capacity to use the updated Policy Development Framework</w:t>
            </w:r>
          </w:p>
        </w:tc>
        <w:tc>
          <w:tcPr>
            <w:tcW w:w="2204" w:type="dxa"/>
          </w:tcPr>
          <w:p w14:paraId="67BECC0E" w14:textId="6C683D76" w:rsidR="00CC7DA2" w:rsidRDefault="0015541B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June 30, 2024</w:t>
            </w:r>
            <w:r w:rsidR="00480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CF5E462" w14:textId="7075A5D8" w:rsidR="00B97844" w:rsidRPr="00E9705A" w:rsidRDefault="00B97844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2022/23</w:t>
            </w:r>
            <w:r w:rsidR="00480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Q4</w:t>
            </w:r>
          </w:p>
        </w:tc>
        <w:tc>
          <w:tcPr>
            <w:tcW w:w="1878" w:type="dxa"/>
            <w:shd w:val="clear" w:color="auto" w:fill="000000" w:themeFill="text1"/>
          </w:tcPr>
          <w:p w14:paraId="70473C78" w14:textId="0AE4C76D" w:rsidR="00CC7DA2" w:rsidRPr="00E9705A" w:rsidRDefault="0015541B" w:rsidP="00A41A0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No progress</w:t>
            </w:r>
          </w:p>
        </w:tc>
        <w:tc>
          <w:tcPr>
            <w:tcW w:w="1693" w:type="dxa"/>
          </w:tcPr>
          <w:p w14:paraId="6D337261" w14:textId="6F438D2A" w:rsidR="00CC7DA2" w:rsidRPr="00E9705A" w:rsidRDefault="00FC0017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April 17</w:t>
            </w:r>
            <w:r w:rsidR="0015541B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</w:t>
            </w: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29" w:type="dxa"/>
          </w:tcPr>
          <w:p w14:paraId="77E7C29F" w14:textId="5BA9A9E5" w:rsidR="00CC7DA2" w:rsidRPr="00E9705A" w:rsidRDefault="0015541B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1D0530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seek the support of the PMEB</w:t>
            </w:r>
            <w:r w:rsidR="00E97AFF" w:rsidRPr="00E97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conduct this Government-wide evaluation.</w:t>
            </w:r>
          </w:p>
        </w:tc>
      </w:tr>
      <w:tr w:rsidR="00CC7DA2" w:rsidRPr="00E9705A" w14:paraId="582C916B" w14:textId="77777777" w:rsidTr="001D3B38">
        <w:trPr>
          <w:trHeight w:val="266"/>
          <w:jc w:val="center"/>
        </w:trPr>
        <w:tc>
          <w:tcPr>
            <w:tcW w:w="554" w:type="dxa"/>
          </w:tcPr>
          <w:p w14:paraId="6C4F12A6" w14:textId="77777777" w:rsidR="00CC7DA2" w:rsidRPr="00E9705A" w:rsidRDefault="00CC7DA2" w:rsidP="00CC7DA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16" w:type="dxa"/>
          </w:tcPr>
          <w:p w14:paraId="6D913D67" w14:textId="3DED794D" w:rsidR="00CC7DA2" w:rsidRPr="00E9705A" w:rsidRDefault="00886B8D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Provide cumulative </w:t>
            </w:r>
            <w:r w:rsidR="00147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results </w:t>
            </w:r>
            <w:r w:rsidR="002A1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 </w:t>
            </w:r>
            <w:r w:rsidR="007D7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targets</w:t>
            </w:r>
            <w:r w:rsidR="002A1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="007D7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="002A1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Q4</w:t>
            </w:r>
            <w:r w:rsidR="007D7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report.</w:t>
            </w:r>
          </w:p>
        </w:tc>
        <w:tc>
          <w:tcPr>
            <w:tcW w:w="2204" w:type="dxa"/>
          </w:tcPr>
          <w:p w14:paraId="170A9391" w14:textId="6EE0226D" w:rsidR="00CC7DA2" w:rsidRDefault="00065263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June 30, 2024</w:t>
            </w:r>
            <w:r w:rsidR="00480D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77ED983E" w14:textId="175D3C54" w:rsidR="00480D2B" w:rsidRPr="00E9705A" w:rsidRDefault="00480D2B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2022/23 Q4</w:t>
            </w:r>
          </w:p>
        </w:tc>
        <w:tc>
          <w:tcPr>
            <w:tcW w:w="1878" w:type="dxa"/>
            <w:shd w:val="clear" w:color="auto" w:fill="FFCCFF"/>
          </w:tcPr>
          <w:p w14:paraId="70F67E3A" w14:textId="5BFCA3BB" w:rsidR="00CC7DA2" w:rsidRPr="001D3B38" w:rsidRDefault="00810B11" w:rsidP="00A41A0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D3B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Not Yet Due</w:t>
            </w:r>
          </w:p>
        </w:tc>
        <w:tc>
          <w:tcPr>
            <w:tcW w:w="1693" w:type="dxa"/>
          </w:tcPr>
          <w:p w14:paraId="4DA1CECD" w14:textId="1023C51D" w:rsidR="00CC7DA2" w:rsidRPr="00E9705A" w:rsidRDefault="00F01AF6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 31, 2025</w:t>
            </w:r>
          </w:p>
        </w:tc>
        <w:tc>
          <w:tcPr>
            <w:tcW w:w="2629" w:type="dxa"/>
          </w:tcPr>
          <w:p w14:paraId="3B557314" w14:textId="08D321D6" w:rsidR="00CC7DA2" w:rsidRPr="00E9705A" w:rsidRDefault="00B05594" w:rsidP="00A41A0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1D3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Office of the Cabinet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had</w:t>
            </w:r>
            <w:r w:rsidR="001D3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 a deadline </w:t>
            </w:r>
            <w:proofErr w:type="gramStart"/>
            <w:r w:rsidR="001D3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proofErr w:type="gramEnd"/>
            <w:r w:rsidR="001D3B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March 2025 for this recommendation</w:t>
            </w:r>
            <w:r w:rsidR="006A37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32DEADA2" w14:textId="091D4B56" w:rsidR="0013509D" w:rsidRDefault="00752A50" w:rsidP="001D3B38">
      <w:pPr>
        <w:pStyle w:val="ListParagraph"/>
        <w:jc w:val="both"/>
        <w:rPr>
          <w:rFonts w:ascii="Times New Roman" w:hAnsi="Times New Roman" w:cs="Times New Roman"/>
          <w:color w:val="FF0000"/>
          <w:lang w:val="en-US"/>
        </w:rPr>
      </w:pPr>
      <w:r w:rsidRPr="00A11AF8">
        <w:rPr>
          <w:rFonts w:ascii="Times New Roman" w:hAnsi="Times New Roman" w:cs="Times New Roman"/>
          <w:color w:val="FF0000"/>
          <w:lang w:val="en-US"/>
        </w:rPr>
        <w:t xml:space="preserve">Note: </w:t>
      </w:r>
      <w:r w:rsidR="001B0AE1">
        <w:rPr>
          <w:rFonts w:ascii="Times New Roman" w:hAnsi="Times New Roman" w:cs="Times New Roman"/>
          <w:color w:val="FF0000"/>
          <w:lang w:val="en-US"/>
        </w:rPr>
        <w:t xml:space="preserve">All recommendations </w:t>
      </w:r>
      <w:proofErr w:type="gramStart"/>
      <w:r w:rsidR="001B0AE1">
        <w:rPr>
          <w:rFonts w:ascii="Times New Roman" w:hAnsi="Times New Roman" w:cs="Times New Roman"/>
          <w:color w:val="FF0000"/>
          <w:lang w:val="en-US"/>
        </w:rPr>
        <w:t>made up to</w:t>
      </w:r>
      <w:proofErr w:type="gramEnd"/>
      <w:r w:rsidR="001B0AE1">
        <w:rPr>
          <w:rFonts w:ascii="Times New Roman" w:hAnsi="Times New Roman" w:cs="Times New Roman"/>
          <w:color w:val="FF0000"/>
          <w:lang w:val="en-US"/>
        </w:rPr>
        <w:t xml:space="preserve"> the most recent quarter should be included in the above matrix. </w:t>
      </w:r>
      <w:r w:rsidR="00864D8F" w:rsidRPr="00A11AF8">
        <w:rPr>
          <w:rFonts w:ascii="Times New Roman" w:hAnsi="Times New Roman" w:cs="Times New Roman"/>
          <w:color w:val="FF0000"/>
          <w:lang w:val="en-US"/>
        </w:rPr>
        <w:t xml:space="preserve">Recommendations should remain in this </w:t>
      </w:r>
      <w:r w:rsidR="00A11AF8" w:rsidRPr="00A11AF8">
        <w:rPr>
          <w:rFonts w:ascii="Times New Roman" w:hAnsi="Times New Roman" w:cs="Times New Roman"/>
          <w:color w:val="FF0000"/>
          <w:lang w:val="en-US"/>
        </w:rPr>
        <w:t>matrix up to the quarter after which they have been completed or fully incorporated.</w:t>
      </w:r>
      <w:r w:rsidR="0013509D">
        <w:rPr>
          <w:rFonts w:ascii="Times New Roman" w:hAnsi="Times New Roman" w:cs="Times New Roman"/>
          <w:color w:val="FF0000"/>
          <w:lang w:val="en-US"/>
        </w:rPr>
        <w:br w:type="page"/>
      </w:r>
    </w:p>
    <w:p w14:paraId="5F891FCC" w14:textId="77777777" w:rsidR="0013509D" w:rsidRDefault="0013509D">
      <w:pPr>
        <w:rPr>
          <w:rFonts w:ascii="Times New Roman" w:hAnsi="Times New Roman" w:cs="Times New Roman"/>
          <w:color w:val="FF0000"/>
          <w:lang w:val="en-US"/>
        </w:rPr>
      </w:pPr>
    </w:p>
    <w:p w14:paraId="247850D3" w14:textId="77777777" w:rsidR="00463AF3" w:rsidRDefault="00463AF3">
      <w:pPr>
        <w:rPr>
          <w:rFonts w:ascii="Times New Roman" w:hAnsi="Times New Roman" w:cs="Times New Roman"/>
          <w:color w:val="FF0000"/>
          <w:lang w:val="en-US"/>
        </w:rPr>
      </w:pPr>
    </w:p>
    <w:p w14:paraId="33CA3E91" w14:textId="77777777" w:rsidR="00463AF3" w:rsidRDefault="00463AF3">
      <w:pPr>
        <w:rPr>
          <w:rFonts w:ascii="Times New Roman" w:hAnsi="Times New Roman" w:cs="Times New Roman"/>
          <w:color w:val="FF0000"/>
          <w:lang w:val="en-US"/>
        </w:rPr>
      </w:pPr>
    </w:p>
    <w:p w14:paraId="52BABCD3" w14:textId="77777777" w:rsidR="00463AF3" w:rsidRDefault="00463AF3">
      <w:pPr>
        <w:rPr>
          <w:rFonts w:ascii="Times New Roman" w:hAnsi="Times New Roman" w:cs="Times New Roman"/>
          <w:color w:val="FF0000"/>
          <w:lang w:val="en-US"/>
        </w:rPr>
      </w:pPr>
    </w:p>
    <w:p w14:paraId="2B191515" w14:textId="77777777" w:rsidR="00463AF3" w:rsidRDefault="00463AF3">
      <w:pPr>
        <w:rPr>
          <w:rFonts w:ascii="Times New Roman" w:hAnsi="Times New Roman" w:cs="Times New Roman"/>
          <w:color w:val="FF0000"/>
          <w:lang w:val="en-US"/>
        </w:rPr>
      </w:pPr>
    </w:p>
    <w:p w14:paraId="4C93445F" w14:textId="77777777" w:rsidR="0013509D" w:rsidRDefault="0013509D">
      <w:pPr>
        <w:rPr>
          <w:rFonts w:ascii="Times New Roman" w:hAnsi="Times New Roman" w:cs="Times New Roman"/>
          <w:color w:val="FF0000"/>
          <w:lang w:val="en-US"/>
        </w:rPr>
      </w:pPr>
    </w:p>
    <w:p w14:paraId="0D1BC44F" w14:textId="6E69C816" w:rsidR="00A15344" w:rsidRPr="00377DDB" w:rsidRDefault="0013509D" w:rsidP="00A15344">
      <w:pPr>
        <w:pStyle w:val="Heading1"/>
        <w:jc w:val="center"/>
        <w:rPr>
          <w:rFonts w:ascii="Elephant" w:hAnsi="Elephant"/>
          <w:color w:val="0000FF"/>
          <w:sz w:val="96"/>
          <w:szCs w:val="96"/>
          <w:lang w:val="en-US"/>
        </w:rPr>
      </w:pPr>
      <w:bookmarkStart w:id="3" w:name="_Toc223953903"/>
      <w:r>
        <w:rPr>
          <w:rFonts w:ascii="Elephant" w:hAnsi="Elephant"/>
          <w:color w:val="0000FF"/>
          <w:sz w:val="96"/>
          <w:szCs w:val="96"/>
          <w:lang w:val="en-US"/>
        </w:rPr>
        <w:t>2</w:t>
      </w:r>
      <w:r w:rsidR="00A15344" w:rsidRPr="00377DDB">
        <w:rPr>
          <w:rFonts w:ascii="Elephant" w:hAnsi="Elephant"/>
          <w:color w:val="0000FF"/>
          <w:sz w:val="96"/>
          <w:szCs w:val="96"/>
          <w:lang w:val="en-US"/>
        </w:rPr>
        <w:t xml:space="preserve">.0 PERFORMANCE </w:t>
      </w:r>
      <w:r w:rsidR="006348F0">
        <w:rPr>
          <w:rFonts w:ascii="Elephant" w:hAnsi="Elephant"/>
          <w:color w:val="0000FF"/>
          <w:sz w:val="96"/>
          <w:szCs w:val="96"/>
          <w:lang w:val="en-US"/>
        </w:rPr>
        <w:t xml:space="preserve">ANALYSIS &amp; </w:t>
      </w:r>
      <w:r>
        <w:rPr>
          <w:rFonts w:ascii="Elephant" w:hAnsi="Elephant"/>
          <w:color w:val="0000FF"/>
          <w:sz w:val="96"/>
          <w:szCs w:val="96"/>
          <w:lang w:val="en-US"/>
        </w:rPr>
        <w:t>PROJECTION</w:t>
      </w:r>
      <w:bookmarkEnd w:id="3"/>
    </w:p>
    <w:p w14:paraId="2270EABD" w14:textId="7D46C78A" w:rsidR="00010A63" w:rsidRDefault="00010A63">
      <w:pPr>
        <w:rPr>
          <w:rFonts w:ascii="Times New Roman" w:hAnsi="Times New Roman" w:cs="Times New Roman"/>
          <w:color w:val="FF0000"/>
          <w:lang w:val="en-US"/>
        </w:rPr>
      </w:pPr>
    </w:p>
    <w:p w14:paraId="0B8CAD51" w14:textId="77777777" w:rsidR="00752A50" w:rsidRPr="00A11AF8" w:rsidRDefault="00752A50" w:rsidP="001B0AE1">
      <w:pPr>
        <w:pStyle w:val="ListParagraph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6E78C4DD" w14:textId="77777777" w:rsidR="00CC7DA2" w:rsidRPr="00E9705A" w:rsidRDefault="00CC7DA2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br w:type="page"/>
      </w:r>
    </w:p>
    <w:p w14:paraId="4AD57F77" w14:textId="77777777" w:rsidR="00F666C1" w:rsidRDefault="00F666C1" w:rsidP="00A41A09">
      <w:pPr>
        <w:rPr>
          <w:rFonts w:ascii="Times New Roman" w:hAnsi="Times New Roman" w:cs="Times New Roman"/>
          <w:lang w:val="en-US"/>
        </w:rPr>
        <w:sectPr w:rsidR="00F666C1" w:rsidSect="00A71EB4">
          <w:headerReference w:type="default" r:id="rId12"/>
          <w:footerReference w:type="default" r:id="rId13"/>
          <w:pgSz w:w="12240" w:h="15840" w:code="1"/>
          <w:pgMar w:top="1440" w:right="1440" w:bottom="1440" w:left="1440" w:header="708" w:footer="971" w:gutter="0"/>
          <w:pgNumType w:start="0"/>
          <w:cols w:space="708"/>
          <w:docGrid w:linePitch="360"/>
        </w:sectPr>
      </w:pPr>
    </w:p>
    <w:p w14:paraId="43AE77C4" w14:textId="70196BFD" w:rsidR="00703206" w:rsidRPr="006F6FBB" w:rsidRDefault="006F6FBB" w:rsidP="006F6FBB">
      <w:pPr>
        <w:pStyle w:val="Heading2"/>
        <w:rPr>
          <w:rFonts w:ascii="Elephant" w:hAnsi="Elephant" w:cs="Times New Roman"/>
          <w:color w:val="0000FF"/>
          <w:lang w:val="en-US"/>
        </w:rPr>
      </w:pPr>
      <w:bookmarkStart w:id="4" w:name="_Toc223953904"/>
      <w:r>
        <w:rPr>
          <w:rFonts w:ascii="Elephant" w:hAnsi="Elephant" w:cs="Times New Roman"/>
          <w:color w:val="0000FF"/>
          <w:lang w:val="en-US"/>
        </w:rPr>
        <w:lastRenderedPageBreak/>
        <w:t>2.1</w:t>
      </w:r>
      <w:r w:rsidR="00571FBA" w:rsidRPr="00E9705A">
        <w:rPr>
          <w:rFonts w:ascii="Elephant" w:hAnsi="Elephant" w:cs="Times New Roman"/>
          <w:color w:val="0000FF"/>
          <w:lang w:val="en-US"/>
        </w:rPr>
        <w:t xml:space="preserve"> </w:t>
      </w:r>
      <w:r>
        <w:rPr>
          <w:rFonts w:ascii="Elephant" w:hAnsi="Elephant" w:cs="Times New Roman"/>
          <w:color w:val="0000FF"/>
          <w:lang w:val="en-US"/>
        </w:rPr>
        <w:t>End-of-Year Outcome Assessment</w:t>
      </w:r>
      <w:bookmarkEnd w:id="4"/>
    </w:p>
    <w:p w14:paraId="00495A0E" w14:textId="2C8DB9C5" w:rsidR="00B61A02" w:rsidRDefault="00420ABB" w:rsidP="00B61A02">
      <w:pPr>
        <w:tabs>
          <w:tab w:val="left" w:pos="142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="00703206">
        <w:rPr>
          <w:rFonts w:ascii="Times New Roman" w:hAnsi="Times New Roman" w:cs="Times New Roman"/>
          <w:b/>
          <w:bCs/>
          <w:lang w:val="en-US"/>
        </w:rPr>
        <w:t xml:space="preserve">A look back on the outcomes targeted </w:t>
      </w:r>
      <w:r w:rsidR="00521DCC">
        <w:rPr>
          <w:rFonts w:ascii="Times New Roman" w:hAnsi="Times New Roman" w:cs="Times New Roman"/>
          <w:b/>
          <w:bCs/>
          <w:lang w:val="en-US"/>
        </w:rPr>
        <w:t>in the Strategic Plan for the previous financial year.</w:t>
      </w:r>
    </w:p>
    <w:tbl>
      <w:tblPr>
        <w:tblStyle w:val="TableGrid"/>
        <w:tblpPr w:leftFromText="180" w:rightFromText="180" w:vertAnchor="page" w:horzAnchor="margin" w:tblpY="3155"/>
        <w:tblW w:w="13416" w:type="dxa"/>
        <w:tblLook w:val="04A0" w:firstRow="1" w:lastRow="0" w:firstColumn="1" w:lastColumn="0" w:noHBand="0" w:noVBand="1"/>
      </w:tblPr>
      <w:tblGrid>
        <w:gridCol w:w="601"/>
        <w:gridCol w:w="2595"/>
        <w:gridCol w:w="2493"/>
        <w:gridCol w:w="2488"/>
        <w:gridCol w:w="2523"/>
        <w:gridCol w:w="2716"/>
      </w:tblGrid>
      <w:tr w:rsidR="00703206" w:rsidRPr="00376675" w14:paraId="258E843A" w14:textId="77777777" w:rsidTr="005F6D0D">
        <w:trPr>
          <w:trHeight w:val="368"/>
        </w:trPr>
        <w:tc>
          <w:tcPr>
            <w:tcW w:w="6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108B8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5C9EB" w:themeFill="text2" w:themeFillTint="40"/>
            <w:vAlign w:val="center"/>
          </w:tcPr>
          <w:p w14:paraId="2AC5759D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OUTCOME</w:t>
            </w:r>
          </w:p>
        </w:tc>
        <w:tc>
          <w:tcPr>
            <w:tcW w:w="2493" w:type="dxa"/>
            <w:vMerge w:val="restart"/>
            <w:tcBorders>
              <w:top w:val="single" w:sz="12" w:space="0" w:color="auto"/>
            </w:tcBorders>
            <w:shd w:val="clear" w:color="auto" w:fill="A5C9EB" w:themeFill="text2" w:themeFillTint="40"/>
            <w:vAlign w:val="center"/>
          </w:tcPr>
          <w:p w14:paraId="743DD963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KPI</w:t>
            </w:r>
          </w:p>
        </w:tc>
        <w:tc>
          <w:tcPr>
            <w:tcW w:w="5011" w:type="dxa"/>
            <w:gridSpan w:val="2"/>
            <w:tcBorders>
              <w:top w:val="single" w:sz="12" w:space="0" w:color="auto"/>
            </w:tcBorders>
            <w:shd w:val="clear" w:color="auto" w:fill="A5C9EB" w:themeFill="text2" w:themeFillTint="40"/>
            <w:vAlign w:val="center"/>
          </w:tcPr>
          <w:p w14:paraId="03C996B7" w14:textId="767D2E0F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766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202</w:t>
            </w:r>
            <w:r w:rsidR="00670B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  <w:r w:rsidRPr="003766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/2</w:t>
            </w:r>
            <w:r w:rsidR="00670B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FY</w:t>
            </w:r>
            <w:r w:rsidR="00670B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(One Year Prior</w:t>
            </w:r>
            <w:r w:rsidR="005F6D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to current period under review</w:t>
            </w:r>
            <w:r w:rsidR="00670BA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71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67A7A5BF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VARIANCE &amp; COMMENTS</w:t>
            </w:r>
          </w:p>
        </w:tc>
      </w:tr>
      <w:tr w:rsidR="00B61A02" w:rsidRPr="00376675" w14:paraId="06A62E7C" w14:textId="77777777" w:rsidTr="005F6D0D">
        <w:trPr>
          <w:trHeight w:val="232"/>
        </w:trPr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77377DD" w14:textId="77777777" w:rsidR="00B61A02" w:rsidRPr="00376675" w:rsidRDefault="00B61A02" w:rsidP="001D0E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tcBorders>
              <w:left w:val="single" w:sz="12" w:space="0" w:color="auto"/>
            </w:tcBorders>
            <w:vAlign w:val="center"/>
          </w:tcPr>
          <w:p w14:paraId="53CA4E79" w14:textId="77777777" w:rsidR="00B61A02" w:rsidRPr="00376675" w:rsidRDefault="00B61A02" w:rsidP="001D0E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shd w:val="clear" w:color="auto" w:fill="CAEDFB" w:themeFill="accent4" w:themeFillTint="33"/>
            <w:vAlign w:val="center"/>
          </w:tcPr>
          <w:p w14:paraId="13315519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shd w:val="clear" w:color="auto" w:fill="CAEDFB" w:themeFill="accent4" w:themeFillTint="33"/>
            <w:vAlign w:val="center"/>
          </w:tcPr>
          <w:p w14:paraId="669A4B1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766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Target</w:t>
            </w:r>
          </w:p>
        </w:tc>
        <w:tc>
          <w:tcPr>
            <w:tcW w:w="2523" w:type="dxa"/>
            <w:shd w:val="clear" w:color="auto" w:fill="CAEDFB" w:themeFill="accent4" w:themeFillTint="33"/>
            <w:vAlign w:val="center"/>
          </w:tcPr>
          <w:p w14:paraId="483F953C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7667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Result</w:t>
            </w: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shd w:val="clear" w:color="auto" w:fill="A5C9EB" w:themeFill="text2" w:themeFillTint="40"/>
          </w:tcPr>
          <w:p w14:paraId="4A4CFD82" w14:textId="77777777" w:rsidR="00B61A02" w:rsidRPr="00716A20" w:rsidRDefault="00B61A02" w:rsidP="001D0E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B61A02" w:rsidRPr="00376675" w14:paraId="06A23893" w14:textId="77777777" w:rsidTr="005F6D0D">
        <w:trPr>
          <w:trHeight w:val="229"/>
        </w:trPr>
        <w:tc>
          <w:tcPr>
            <w:tcW w:w="6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5C9EB" w:themeFill="text2" w:themeFillTint="40"/>
          </w:tcPr>
          <w:p w14:paraId="3051FEC0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54A6CBF6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Increased use of alternative energy sources in the national energy mix.</w:t>
            </w:r>
          </w:p>
        </w:tc>
        <w:tc>
          <w:tcPr>
            <w:tcW w:w="2493" w:type="dxa"/>
            <w:vMerge w:val="restart"/>
            <w:vAlign w:val="center"/>
          </w:tcPr>
          <w:p w14:paraId="1DEB8FC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increase in public entities utilizing alternative energy sources.</w:t>
            </w:r>
          </w:p>
        </w:tc>
        <w:tc>
          <w:tcPr>
            <w:tcW w:w="2488" w:type="dxa"/>
            <w:vMerge w:val="restart"/>
            <w:shd w:val="clear" w:color="auto" w:fill="E8E8E8" w:themeFill="background2"/>
            <w:vAlign w:val="center"/>
          </w:tcPr>
          <w:p w14:paraId="70F6D4D3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6%</w:t>
            </w:r>
          </w:p>
          <w:p w14:paraId="484F8A34" w14:textId="19465D2C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(16 </w:t>
            </w:r>
            <w:r w:rsidR="001553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new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entities)</w:t>
            </w:r>
          </w:p>
        </w:tc>
        <w:tc>
          <w:tcPr>
            <w:tcW w:w="2523" w:type="dxa"/>
            <w:vMerge w:val="restart"/>
            <w:shd w:val="clear" w:color="auto" w:fill="E8E8E8" w:themeFill="background2"/>
            <w:vAlign w:val="center"/>
          </w:tcPr>
          <w:p w14:paraId="2E75C7EE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6%</w:t>
            </w:r>
          </w:p>
          <w:p w14:paraId="7783C388" w14:textId="0D08C6AA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(16 </w:t>
            </w:r>
            <w:r w:rsidR="0015539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new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entities)</w:t>
            </w:r>
          </w:p>
        </w:tc>
        <w:tc>
          <w:tcPr>
            <w:tcW w:w="2716" w:type="dxa"/>
            <w:vMerge w:val="restart"/>
            <w:tcBorders>
              <w:right w:val="single" w:sz="12" w:space="0" w:color="auto"/>
            </w:tcBorders>
            <w:vAlign w:val="center"/>
          </w:tcPr>
          <w:p w14:paraId="14F142F4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20E28B8F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18612025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611ADC85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5E8AB32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0A08D5E3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100227B4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3DB9EDBF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4632F402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E10B841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52795E25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151D84B1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28782636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245EAA0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5EADA229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147D8D7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BC7C6E5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2A2614B0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11F46115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673D1E7F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2EC7CCFF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42102AD4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3A4CA521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3C567112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5B3C8586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3BDB3DA5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64D8C63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6B39460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408C22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19D00C91" w14:textId="77777777" w:rsidTr="005F6D0D">
        <w:trPr>
          <w:trHeight w:val="229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967C658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0D30F244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stable macroeconomy.</w:t>
            </w:r>
          </w:p>
        </w:tc>
        <w:tc>
          <w:tcPr>
            <w:tcW w:w="2493" w:type="dxa"/>
            <w:vMerge w:val="restart"/>
            <w:vAlign w:val="center"/>
          </w:tcPr>
          <w:p w14:paraId="29CADB71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growth in GDP</w:t>
            </w:r>
          </w:p>
        </w:tc>
        <w:tc>
          <w:tcPr>
            <w:tcW w:w="2488" w:type="dxa"/>
            <w:vMerge w:val="restart"/>
            <w:shd w:val="clear" w:color="auto" w:fill="E8E8E8" w:themeFill="background2"/>
            <w:vAlign w:val="center"/>
          </w:tcPr>
          <w:p w14:paraId="6651557D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1.5%</w:t>
            </w:r>
          </w:p>
        </w:tc>
        <w:tc>
          <w:tcPr>
            <w:tcW w:w="2523" w:type="dxa"/>
            <w:vMerge w:val="restart"/>
            <w:shd w:val="clear" w:color="auto" w:fill="E8E8E8" w:themeFill="background2"/>
            <w:vAlign w:val="center"/>
          </w:tcPr>
          <w:p w14:paraId="59499BA3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1.2%</w:t>
            </w:r>
          </w:p>
        </w:tc>
        <w:tc>
          <w:tcPr>
            <w:tcW w:w="2716" w:type="dxa"/>
            <w:vMerge w:val="restart"/>
            <w:tcBorders>
              <w:right w:val="single" w:sz="12" w:space="0" w:color="auto"/>
            </w:tcBorders>
            <w:vAlign w:val="center"/>
          </w:tcPr>
          <w:p w14:paraId="77E4A663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Economic    activity was slowed by the passage of hurricane Beryl.</w:t>
            </w:r>
          </w:p>
        </w:tc>
      </w:tr>
      <w:tr w:rsidR="00B61A02" w:rsidRPr="00376675" w14:paraId="4F658307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5D7EE007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67656613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3809D89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6CC62191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0802B14A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6A580FDD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12862C7E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0460730C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032A3C20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065143E9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76A7028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001917C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5DB20C13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74B3B2BE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40659AFD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14F7C51D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00519DEA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5623CC35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365E01EB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4F7C757A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F0F3CAA" w14:textId="77777777" w:rsidTr="005F6D0D">
        <w:trPr>
          <w:trHeight w:val="22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CDD12AB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3821F679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09F95D5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3E7DD2B4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7C091AE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045A161E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5A6E0D90" w14:textId="77777777" w:rsidTr="005F6D0D">
        <w:trPr>
          <w:trHeight w:val="207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56970F56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7C343E50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Reduction in the food import bill</w:t>
            </w:r>
          </w:p>
        </w:tc>
        <w:tc>
          <w:tcPr>
            <w:tcW w:w="2493" w:type="dxa"/>
            <w:vMerge w:val="restart"/>
            <w:vAlign w:val="center"/>
          </w:tcPr>
          <w:p w14:paraId="7B478EBA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 reduction in the national food import bill</w:t>
            </w:r>
          </w:p>
        </w:tc>
        <w:tc>
          <w:tcPr>
            <w:tcW w:w="2488" w:type="dxa"/>
            <w:vMerge w:val="restart"/>
            <w:shd w:val="clear" w:color="auto" w:fill="E8E8E8" w:themeFill="background2"/>
            <w:vAlign w:val="center"/>
          </w:tcPr>
          <w:p w14:paraId="033B6598" w14:textId="0280A41B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2.5%</w:t>
            </w:r>
            <w:r w:rsidR="009C49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reduction</w:t>
            </w:r>
          </w:p>
        </w:tc>
        <w:tc>
          <w:tcPr>
            <w:tcW w:w="2523" w:type="dxa"/>
            <w:vMerge w:val="restart"/>
            <w:shd w:val="clear" w:color="auto" w:fill="E8E8E8" w:themeFill="background2"/>
            <w:vAlign w:val="center"/>
          </w:tcPr>
          <w:p w14:paraId="18B51A9D" w14:textId="73212769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1.1%</w:t>
            </w:r>
            <w:r w:rsidR="009C49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9C3AE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increase</w:t>
            </w:r>
          </w:p>
        </w:tc>
        <w:tc>
          <w:tcPr>
            <w:tcW w:w="2716" w:type="dxa"/>
            <w:vMerge w:val="restart"/>
            <w:tcBorders>
              <w:right w:val="single" w:sz="12" w:space="0" w:color="auto"/>
            </w:tcBorders>
            <w:vAlign w:val="center"/>
          </w:tcPr>
          <w:p w14:paraId="76CABAD2" w14:textId="77777777" w:rsidR="00B61A02" w:rsidRDefault="00B61A02" w:rsidP="001D0EE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passage of hurricane Beryl necessitated the unplanned import of select crops.</w:t>
            </w:r>
          </w:p>
        </w:tc>
      </w:tr>
      <w:tr w:rsidR="00B61A02" w:rsidRPr="00376675" w14:paraId="2CB69D97" w14:textId="77777777" w:rsidTr="005F6D0D">
        <w:trPr>
          <w:trHeight w:val="207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4B0B3024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0742C553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2798B860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28E60FB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1CF4EAD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7AE134E1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5EF7F3A3" w14:textId="77777777" w:rsidTr="005F6D0D">
        <w:trPr>
          <w:trHeight w:val="207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74C87B73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4A34E390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6A0ADDA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3DE667C6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4B27E66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54BFD916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C4EA344" w14:textId="77777777" w:rsidTr="005F6D0D">
        <w:trPr>
          <w:trHeight w:val="207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694A9B77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6E3B099B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69EC764B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2F83062C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5090812D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52B88838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50C8F842" w14:textId="77777777" w:rsidTr="005F6D0D">
        <w:trPr>
          <w:trHeight w:val="207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3FDA0FCA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2B9C990B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31A7FA9D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144614A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5F94212A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C92CD0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131C1835" w14:textId="77777777" w:rsidTr="005F6D0D">
        <w:trPr>
          <w:trHeight w:val="269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48E8EDDE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2AFA3B16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Modernised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transportation infrastructure</w:t>
            </w:r>
          </w:p>
        </w:tc>
        <w:tc>
          <w:tcPr>
            <w:tcW w:w="2493" w:type="dxa"/>
            <w:vMerge w:val="restart"/>
            <w:vAlign w:val="center"/>
          </w:tcPr>
          <w:p w14:paraId="5CB981DF" w14:textId="4434458A" w:rsidR="00B61A02" w:rsidRPr="00496F3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of specifi</w:t>
            </w:r>
            <w:r w:rsidR="008A69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transportation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modernisation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project</w:t>
            </w:r>
            <w:r w:rsidR="009C3A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488" w:type="dxa"/>
            <w:vMerge w:val="restart"/>
            <w:shd w:val="clear" w:color="auto" w:fill="E8E8E8" w:themeFill="background2"/>
            <w:vAlign w:val="center"/>
          </w:tcPr>
          <w:p w14:paraId="39B32E73" w14:textId="2D2E406C" w:rsidR="00807658" w:rsidRDefault="009C3AE6" w:rsidP="009C3AE6">
            <w:pPr>
              <w:pStyle w:val="ListParagraph"/>
              <w:numPr>
                <w:ilvl w:val="0"/>
                <w:numId w:val="10"/>
              </w:numPr>
              <w:ind w:left="37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Procurement</w:t>
            </w:r>
            <w:r w:rsidR="008076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commissioning of 100 SMART buses</w:t>
            </w:r>
            <w:r w:rsidR="007167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 2027</w:t>
            </w:r>
          </w:p>
          <w:p w14:paraId="5EC002C6" w14:textId="2137E171" w:rsidR="00B61A02" w:rsidRPr="009C3AE6" w:rsidRDefault="00B61A02" w:rsidP="009C3AE6">
            <w:pPr>
              <w:pStyle w:val="ListParagraph"/>
              <w:numPr>
                <w:ilvl w:val="0"/>
                <w:numId w:val="10"/>
              </w:numPr>
              <w:ind w:left="37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6F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Roll-out of digital payment</w:t>
            </w:r>
            <w:r w:rsidR="008A69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system</w:t>
            </w:r>
            <w:r w:rsidRPr="00496F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on all JUTC Routes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 202</w:t>
            </w:r>
            <w:r w:rsidR="007167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523" w:type="dxa"/>
            <w:vMerge w:val="restart"/>
            <w:shd w:val="clear" w:color="auto" w:fill="E8E8E8" w:themeFill="background2"/>
            <w:vAlign w:val="center"/>
          </w:tcPr>
          <w:p w14:paraId="7F913010" w14:textId="30BA8BD2" w:rsidR="00807658" w:rsidRDefault="007167AA" w:rsidP="00807658">
            <w:pPr>
              <w:pStyle w:val="ListParagraph"/>
              <w:numPr>
                <w:ilvl w:val="0"/>
                <w:numId w:val="11"/>
              </w:numPr>
              <w:ind w:left="40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52 new SMART buses procured and commissioned</w:t>
            </w:r>
          </w:p>
          <w:p w14:paraId="6EE3AB3C" w14:textId="630693B4" w:rsidR="00B61A02" w:rsidRPr="00807658" w:rsidRDefault="00B61A02" w:rsidP="00807658">
            <w:pPr>
              <w:pStyle w:val="ListParagraph"/>
              <w:numPr>
                <w:ilvl w:val="0"/>
                <w:numId w:val="11"/>
              </w:numPr>
              <w:ind w:left="400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Roll-out of digital payment</w:t>
            </w:r>
            <w:r w:rsidR="008A694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system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on 75% of routes</w:t>
            </w:r>
          </w:p>
        </w:tc>
        <w:tc>
          <w:tcPr>
            <w:tcW w:w="2716" w:type="dxa"/>
            <w:vMerge w:val="restart"/>
            <w:tcBorders>
              <w:right w:val="single" w:sz="12" w:space="0" w:color="auto"/>
            </w:tcBorders>
            <w:vAlign w:val="center"/>
          </w:tcPr>
          <w:p w14:paraId="2F2D0ADE" w14:textId="77777777" w:rsidR="00B61A02" w:rsidRPr="007249C6" w:rsidRDefault="00B61A02" w:rsidP="001D0EEE">
            <w:pPr>
              <w:pStyle w:val="ListParagraph"/>
              <w:numPr>
                <w:ilvl w:val="0"/>
                <w:numId w:val="16"/>
              </w:numPr>
              <w:ind w:left="37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not due until 2027</w:t>
            </w:r>
          </w:p>
          <w:p w14:paraId="6E06BA0B" w14:textId="77777777" w:rsidR="00B61A02" w:rsidRPr="007249C6" w:rsidRDefault="00B61A02" w:rsidP="001D0EEE">
            <w:pPr>
              <w:pStyle w:val="ListParagraph"/>
              <w:numPr>
                <w:ilvl w:val="0"/>
                <w:numId w:val="16"/>
              </w:numPr>
              <w:ind w:left="375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249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not due until 2028</w:t>
            </w:r>
          </w:p>
        </w:tc>
      </w:tr>
      <w:tr w:rsidR="00B61A02" w:rsidRPr="00376675" w14:paraId="31F5F84C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37D9656C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2A14B49B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77616603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6E937AC5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2AD9D72C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0220735A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2337D008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444342B8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636365C8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77449ACB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1DF3689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1E0032AA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08A45404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7476799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F348DB0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0E2C570E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56147DD0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6B2B8A9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0070067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right w:val="single" w:sz="12" w:space="0" w:color="auto"/>
            </w:tcBorders>
            <w:vAlign w:val="center"/>
          </w:tcPr>
          <w:p w14:paraId="64B4CDC8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CF2B59F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595E13C6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09297FCE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1818B264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068074C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090CD6F4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9F0E41" w14:textId="77777777" w:rsidR="00B61A02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272F4874" w14:textId="77777777" w:rsidTr="005F6D0D">
        <w:trPr>
          <w:trHeight w:val="269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562E5EB7" w14:textId="77777777" w:rsidR="00B61A02" w:rsidRPr="003A0DE8" w:rsidRDefault="00B61A02" w:rsidP="001D0EE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 w:val="restart"/>
            <w:vAlign w:val="center"/>
          </w:tcPr>
          <w:p w14:paraId="4BF47709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Greater efficiency in the development of policies and legislations</w:t>
            </w:r>
          </w:p>
        </w:tc>
        <w:tc>
          <w:tcPr>
            <w:tcW w:w="2493" w:type="dxa"/>
            <w:vMerge w:val="restart"/>
            <w:vAlign w:val="center"/>
          </w:tcPr>
          <w:p w14:paraId="7C8764F7" w14:textId="1B637D8C" w:rsidR="00B61A02" w:rsidRPr="00825DC4" w:rsidRDefault="00521C6D" w:rsidP="001D0EEE">
            <w:pPr>
              <w:pStyle w:val="ListParagraph"/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Completion of activities </w:t>
            </w:r>
            <w:r w:rsidR="004A1C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updat</w:t>
            </w:r>
            <w:r w:rsidR="004A1C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the internal policy and legislative development processes</w:t>
            </w:r>
          </w:p>
        </w:tc>
        <w:tc>
          <w:tcPr>
            <w:tcW w:w="2488" w:type="dxa"/>
            <w:vMerge w:val="restart"/>
            <w:shd w:val="clear" w:color="auto" w:fill="E8E8E8" w:themeFill="background2"/>
            <w:vAlign w:val="center"/>
          </w:tcPr>
          <w:p w14:paraId="7139499E" w14:textId="77777777" w:rsidR="00B61A02" w:rsidRDefault="00B61A02" w:rsidP="001D0EE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of an evaluation on the Policy and Legislative development processes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 2027</w:t>
            </w:r>
          </w:p>
          <w:p w14:paraId="3DCA3633" w14:textId="76AE22E2" w:rsidR="00B61A02" w:rsidRPr="00825DC4" w:rsidRDefault="00B61A02" w:rsidP="001D0EE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Development of </w:t>
            </w:r>
            <w:proofErr w:type="spellStart"/>
            <w:r w:rsidRPr="008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SoP</w:t>
            </w:r>
            <w:r w:rsidR="00D955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spellEnd"/>
            <w:r w:rsidRPr="00825D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the creation and updating of policies and legislations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 2028</w:t>
            </w:r>
          </w:p>
        </w:tc>
        <w:tc>
          <w:tcPr>
            <w:tcW w:w="2523" w:type="dxa"/>
            <w:vMerge w:val="restart"/>
            <w:shd w:val="clear" w:color="auto" w:fill="E8E8E8" w:themeFill="background2"/>
            <w:vAlign w:val="center"/>
          </w:tcPr>
          <w:p w14:paraId="118E097D" w14:textId="77777777" w:rsidR="00B61A02" w:rsidRDefault="00B61A02" w:rsidP="001D0EE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Evaluation of policy and legislative process 55% complete</w:t>
            </w:r>
          </w:p>
          <w:p w14:paraId="110EB46A" w14:textId="5BF36591" w:rsidR="00B61A02" w:rsidRPr="00825DC4" w:rsidRDefault="00B61A02" w:rsidP="001D0EEE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Development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SoP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A10B1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not com</w:t>
            </w:r>
            <w:r w:rsidR="00A10B1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menc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ed, as it depends on the findings of the above evaluation</w:t>
            </w:r>
          </w:p>
        </w:tc>
        <w:tc>
          <w:tcPr>
            <w:tcW w:w="271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2BFC3A" w14:textId="77777777" w:rsidR="00B61A02" w:rsidRDefault="00B61A02" w:rsidP="001D0EEE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not due until 2027</w:t>
            </w:r>
          </w:p>
          <w:p w14:paraId="3E784657" w14:textId="77777777" w:rsidR="00B61A02" w:rsidRPr="007249C6" w:rsidRDefault="00B61A02" w:rsidP="001D0EEE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Completion not due until 2028</w:t>
            </w:r>
          </w:p>
        </w:tc>
      </w:tr>
      <w:tr w:rsidR="00B61A02" w:rsidRPr="00376675" w14:paraId="64E164E0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5BFB639B" w14:textId="77777777" w:rsidR="00B61A02" w:rsidRPr="00376675" w:rsidRDefault="00B61A02" w:rsidP="001D0EE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56290680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7EEB4A7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2395B67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4186B6D9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169B6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444831BF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35E7C595" w14:textId="77777777" w:rsidR="00B61A02" w:rsidRPr="00376675" w:rsidRDefault="00B61A02" w:rsidP="001D0EE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1793C7AA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1B5F72C4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37C290E9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3E3E0DF7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A95F8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0F62F82D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20A94089" w14:textId="77777777" w:rsidR="00B61A02" w:rsidRPr="00376675" w:rsidRDefault="00B61A02" w:rsidP="001D0EE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vAlign w:val="center"/>
          </w:tcPr>
          <w:p w14:paraId="181D7A93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vAlign w:val="center"/>
          </w:tcPr>
          <w:p w14:paraId="3DF412B9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shd w:val="clear" w:color="auto" w:fill="E8E8E8" w:themeFill="background2"/>
            <w:vAlign w:val="center"/>
          </w:tcPr>
          <w:p w14:paraId="577F1B5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shd w:val="clear" w:color="auto" w:fill="E8E8E8" w:themeFill="background2"/>
            <w:vAlign w:val="center"/>
          </w:tcPr>
          <w:p w14:paraId="42480A02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4B3CF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61A02" w:rsidRPr="00376675" w14:paraId="4F1D01FD" w14:textId="77777777" w:rsidTr="005F6D0D">
        <w:trPr>
          <w:trHeight w:val="269"/>
        </w:trPr>
        <w:tc>
          <w:tcPr>
            <w:tcW w:w="6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</w:tcPr>
          <w:p w14:paraId="62D78002" w14:textId="77777777" w:rsidR="00B61A02" w:rsidRPr="00376675" w:rsidRDefault="00B61A02" w:rsidP="001D0EE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95" w:type="dxa"/>
            <w:vMerge/>
            <w:tcBorders>
              <w:bottom w:val="single" w:sz="12" w:space="0" w:color="auto"/>
            </w:tcBorders>
            <w:vAlign w:val="center"/>
          </w:tcPr>
          <w:p w14:paraId="0056A645" w14:textId="77777777" w:rsidR="00B61A02" w:rsidRPr="00376675" w:rsidRDefault="00B61A02" w:rsidP="001D0EE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14:paraId="17355AD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88" w:type="dxa"/>
            <w:vMerge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4EBBA28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23" w:type="dxa"/>
            <w:vMerge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25191FE" w14:textId="77777777" w:rsidR="00B61A02" w:rsidRPr="00376675" w:rsidRDefault="00B61A02" w:rsidP="001D0EE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A73E5" w14:textId="77777777" w:rsidR="00B61A02" w:rsidRDefault="00B61A02" w:rsidP="001D0E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CAF8BE7" w14:textId="02BF353E" w:rsidR="00B61A02" w:rsidRDefault="001105E5" w:rsidP="00B61A02">
      <w:pPr>
        <w:tabs>
          <w:tab w:val="left" w:pos="142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1105E5">
        <w:rPr>
          <w:rFonts w:ascii="Times New Roman" w:hAnsi="Times New Roman" w:cs="Times New Roman"/>
          <w:color w:val="EE0000"/>
          <w:sz w:val="20"/>
          <w:szCs w:val="20"/>
          <w:lang w:val="en-US"/>
        </w:rPr>
        <w:t xml:space="preserve">This section is only presented in </w:t>
      </w:r>
      <w:r w:rsidRPr="00091DD4">
        <w:rPr>
          <w:rFonts w:ascii="Times New Roman" w:hAnsi="Times New Roman" w:cs="Times New Roman"/>
          <w:b/>
          <w:bCs/>
          <w:color w:val="EE0000"/>
          <w:sz w:val="20"/>
          <w:szCs w:val="20"/>
          <w:lang w:val="en-US"/>
        </w:rPr>
        <w:t>Quarter 4 Performance Reports</w:t>
      </w:r>
      <w:r w:rsidR="001B5DC0">
        <w:rPr>
          <w:rFonts w:ascii="Times New Roman" w:hAnsi="Times New Roman" w:cs="Times New Roman"/>
          <w:color w:val="EE0000"/>
          <w:sz w:val="20"/>
          <w:szCs w:val="20"/>
          <w:lang w:val="en-US"/>
        </w:rPr>
        <w:t xml:space="preserve"> and must include </w:t>
      </w:r>
      <w:r w:rsidR="00D5546E">
        <w:rPr>
          <w:rFonts w:ascii="Times New Roman" w:hAnsi="Times New Roman" w:cs="Times New Roman"/>
          <w:color w:val="EE0000"/>
          <w:sz w:val="20"/>
          <w:szCs w:val="20"/>
          <w:lang w:val="en-US"/>
        </w:rPr>
        <w:t>ALL</w:t>
      </w:r>
      <w:r w:rsidR="001B5DC0">
        <w:rPr>
          <w:rFonts w:ascii="Times New Roman" w:hAnsi="Times New Roman" w:cs="Times New Roman"/>
          <w:color w:val="EE0000"/>
          <w:sz w:val="20"/>
          <w:szCs w:val="20"/>
          <w:lang w:val="en-US"/>
        </w:rPr>
        <w:t xml:space="preserve"> outcomes presented in the Strategic </w:t>
      </w:r>
      <w:r w:rsidR="001D0EEE">
        <w:rPr>
          <w:rFonts w:ascii="Times New Roman" w:hAnsi="Times New Roman" w:cs="Times New Roman"/>
          <w:color w:val="EE0000"/>
          <w:sz w:val="20"/>
          <w:szCs w:val="20"/>
          <w:lang w:val="en-US"/>
        </w:rPr>
        <w:t>Framework</w:t>
      </w:r>
      <w:r w:rsidR="001B5DC0">
        <w:rPr>
          <w:rFonts w:ascii="Times New Roman" w:hAnsi="Times New Roman" w:cs="Times New Roman"/>
          <w:color w:val="EE0000"/>
          <w:sz w:val="20"/>
          <w:szCs w:val="20"/>
          <w:lang w:val="en-US"/>
        </w:rPr>
        <w:t xml:space="preserve"> of </w:t>
      </w:r>
      <w:r w:rsidR="001D0EEE">
        <w:rPr>
          <w:rFonts w:ascii="Times New Roman" w:hAnsi="Times New Roman" w:cs="Times New Roman"/>
          <w:color w:val="EE0000"/>
          <w:sz w:val="20"/>
          <w:szCs w:val="20"/>
          <w:lang w:val="en-US"/>
        </w:rPr>
        <w:t>the Strategic Plan for the last financial year.</w:t>
      </w:r>
      <w:r w:rsidR="00B61A02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2A253F88" w14:textId="3596F3E9" w:rsidR="00B656A2" w:rsidRPr="00B656A2" w:rsidRDefault="00B656A2" w:rsidP="00420ABB">
      <w:pPr>
        <w:tabs>
          <w:tab w:val="left" w:pos="142"/>
        </w:tabs>
        <w:rPr>
          <w:rFonts w:ascii="Times New Roman" w:hAnsi="Times New Roman" w:cs="Times New Roman"/>
          <w:lang w:val="en-US"/>
        </w:rPr>
        <w:sectPr w:rsidR="00B656A2" w:rsidRPr="00B656A2" w:rsidSect="003A0DE8">
          <w:pgSz w:w="15840" w:h="12240" w:orient="landscape" w:code="1"/>
          <w:pgMar w:top="1440" w:right="1440" w:bottom="1440" w:left="1440" w:header="708" w:footer="971" w:gutter="0"/>
          <w:cols w:space="708"/>
          <w:docGrid w:linePitch="360"/>
        </w:sectPr>
      </w:pPr>
    </w:p>
    <w:p w14:paraId="54EC77CA" w14:textId="40D8CB71" w:rsidR="00CC7DA2" w:rsidRPr="00E9705A" w:rsidRDefault="007E4D7C" w:rsidP="00E9705A">
      <w:pPr>
        <w:pStyle w:val="Heading1"/>
        <w:spacing w:before="0"/>
        <w:rPr>
          <w:rFonts w:ascii="Elephant" w:hAnsi="Elephant" w:cs="Times New Roman"/>
          <w:color w:val="0000FF"/>
          <w:sz w:val="32"/>
          <w:szCs w:val="32"/>
          <w:lang w:val="en-US"/>
        </w:rPr>
      </w:pPr>
      <w:bookmarkStart w:id="5" w:name="_Toc223953905"/>
      <w:r w:rsidRPr="00E9705A">
        <w:rPr>
          <w:rFonts w:ascii="Elephant" w:hAnsi="Elephant" w:cs="Times New Roman"/>
          <w:noProof/>
          <w:color w:val="0000FF"/>
          <w:sz w:val="32"/>
          <w:szCs w:val="3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13F788D" wp14:editId="10EC85DA">
            <wp:simplePos x="0" y="0"/>
            <wp:positionH relativeFrom="column">
              <wp:posOffset>-215900</wp:posOffset>
            </wp:positionH>
            <wp:positionV relativeFrom="paragraph">
              <wp:posOffset>349250</wp:posOffset>
            </wp:positionV>
            <wp:extent cx="4127500" cy="2343150"/>
            <wp:effectExtent l="0" t="0" r="6350" b="0"/>
            <wp:wrapNone/>
            <wp:docPr id="164706103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A440CD" w:rsidRPr="00E9705A">
        <w:rPr>
          <w:rFonts w:ascii="Elephant" w:hAnsi="Elephant" w:cs="Times New Roman"/>
          <w:noProof/>
          <w:color w:val="0000FF"/>
          <w:sz w:val="32"/>
          <w:szCs w:val="32"/>
          <w:lang w:val="en-US"/>
        </w:rPr>
        <w:drawing>
          <wp:anchor distT="0" distB="0" distL="114300" distR="114300" simplePos="0" relativeHeight="251657216" behindDoc="0" locked="0" layoutInCell="1" allowOverlap="1" wp14:anchorId="53F11ADB" wp14:editId="33E56C81">
            <wp:simplePos x="0" y="0"/>
            <wp:positionH relativeFrom="column">
              <wp:posOffset>4514850</wp:posOffset>
            </wp:positionH>
            <wp:positionV relativeFrom="paragraph">
              <wp:posOffset>349250</wp:posOffset>
            </wp:positionV>
            <wp:extent cx="4089400" cy="2343150"/>
            <wp:effectExtent l="0" t="0" r="6350" b="0"/>
            <wp:wrapNone/>
            <wp:docPr id="174900174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</wp:anchor>
        </w:drawing>
      </w:r>
      <w:r w:rsidR="00E9705A" w:rsidRPr="00E9705A">
        <w:rPr>
          <w:rFonts w:ascii="Elephant" w:hAnsi="Elephant" w:cs="Times New Roman"/>
          <w:color w:val="0000FF"/>
          <w:sz w:val="32"/>
          <w:szCs w:val="32"/>
          <w:lang w:val="en-US"/>
        </w:rPr>
        <w:t>2.</w:t>
      </w:r>
      <w:r w:rsidR="00F85C5E">
        <w:rPr>
          <w:rFonts w:ascii="Elephant" w:hAnsi="Elephant" w:cs="Times New Roman"/>
          <w:color w:val="0000FF"/>
          <w:sz w:val="32"/>
          <w:szCs w:val="32"/>
          <w:lang w:val="en-US"/>
        </w:rPr>
        <w:t>2</w:t>
      </w:r>
      <w:r w:rsidR="00E9705A" w:rsidRPr="00E9705A">
        <w:rPr>
          <w:rFonts w:ascii="Elephant" w:hAnsi="Elephant" w:cs="Times New Roman"/>
          <w:color w:val="0000FF"/>
          <w:sz w:val="32"/>
          <w:szCs w:val="32"/>
          <w:lang w:val="en-US"/>
        </w:rPr>
        <w:t xml:space="preserve"> </w:t>
      </w:r>
      <w:r w:rsidR="00DB7F6F" w:rsidRPr="00E9705A">
        <w:rPr>
          <w:rFonts w:ascii="Elephant" w:hAnsi="Elephant" w:cs="Times New Roman"/>
          <w:color w:val="0000FF"/>
          <w:sz w:val="32"/>
          <w:szCs w:val="32"/>
          <w:lang w:val="en-US"/>
        </w:rPr>
        <w:t>Key Performance Indicator (KPI) Dashboard</w:t>
      </w:r>
      <w:bookmarkEnd w:id="5"/>
    </w:p>
    <w:p w14:paraId="1B4E1295" w14:textId="09A01010" w:rsidR="00A41A09" w:rsidRPr="00E9705A" w:rsidRDefault="00CC7DA2" w:rsidP="00A41A09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t xml:space="preserve"> </w:t>
      </w:r>
    </w:p>
    <w:p w14:paraId="4A2AC524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6E806DC2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1CB7F76A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5AB23761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59143638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3EA50C4B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6D9F3CDF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4196BF24" w14:textId="61D8AA3A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72CAD5E0" w14:textId="230D7050" w:rsidR="00DB7F6F" w:rsidRPr="00E9705A" w:rsidRDefault="007E4D7C" w:rsidP="00DB7F6F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90E7ADF" wp14:editId="527E4E22">
            <wp:simplePos x="0" y="0"/>
            <wp:positionH relativeFrom="margin">
              <wp:posOffset>-209550</wp:posOffset>
            </wp:positionH>
            <wp:positionV relativeFrom="paragraph">
              <wp:posOffset>134620</wp:posOffset>
            </wp:positionV>
            <wp:extent cx="4133850" cy="2343150"/>
            <wp:effectExtent l="0" t="0" r="0" b="0"/>
            <wp:wrapNone/>
            <wp:docPr id="136970126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  <w:r w:rsidR="00A440CD" w:rsidRPr="00E9705A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477DA8D8" wp14:editId="115EF09B">
            <wp:simplePos x="0" y="0"/>
            <wp:positionH relativeFrom="column">
              <wp:posOffset>4495800</wp:posOffset>
            </wp:positionH>
            <wp:positionV relativeFrom="paragraph">
              <wp:posOffset>140970</wp:posOffset>
            </wp:positionV>
            <wp:extent cx="4083050" cy="2343150"/>
            <wp:effectExtent l="0" t="0" r="12700" b="0"/>
            <wp:wrapNone/>
            <wp:docPr id="88459261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</wp:anchor>
        </w:drawing>
      </w:r>
    </w:p>
    <w:p w14:paraId="2D8F26B0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1692EEA7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583918CF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51594428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4092BB92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29CE985F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36613562" w14:textId="77777777" w:rsidR="00DB7F6F" w:rsidRPr="00E9705A" w:rsidRDefault="00DB7F6F" w:rsidP="00DB7F6F">
      <w:pPr>
        <w:rPr>
          <w:rFonts w:ascii="Times New Roman" w:hAnsi="Times New Roman" w:cs="Times New Roman"/>
          <w:lang w:val="en-US"/>
        </w:rPr>
      </w:pPr>
    </w:p>
    <w:p w14:paraId="216DA1D7" w14:textId="05E685CF" w:rsidR="00DB7F6F" w:rsidRPr="00E9705A" w:rsidRDefault="00DB7F6F">
      <w:pPr>
        <w:rPr>
          <w:rFonts w:ascii="Times New Roman" w:hAnsi="Times New Roman" w:cs="Times New Roman"/>
          <w:lang w:val="en-US"/>
        </w:rPr>
      </w:pPr>
      <w:r w:rsidRPr="00E9705A">
        <w:rPr>
          <w:rFonts w:ascii="Times New Roman" w:hAnsi="Times New Roman" w:cs="Times New Roman"/>
          <w:lang w:val="en-US"/>
        </w:rPr>
        <w:br w:type="page"/>
      </w:r>
    </w:p>
    <w:p w14:paraId="0262FC3A" w14:textId="77777777" w:rsidR="00DB7F6F" w:rsidRPr="00E9705A" w:rsidRDefault="00DB7F6F" w:rsidP="00DB7F6F">
      <w:pPr>
        <w:jc w:val="center"/>
        <w:rPr>
          <w:rFonts w:ascii="Times New Roman" w:hAnsi="Times New Roman" w:cs="Times New Roman"/>
          <w:lang w:val="en-US"/>
        </w:rPr>
        <w:sectPr w:rsidR="00DB7F6F" w:rsidRPr="00E9705A" w:rsidSect="00CC7DA2">
          <w:pgSz w:w="15840" w:h="12240" w:orient="landscape" w:code="1"/>
          <w:pgMar w:top="1440" w:right="1440" w:bottom="1440" w:left="1440" w:header="708" w:footer="708" w:gutter="0"/>
          <w:cols w:space="708"/>
          <w:docGrid w:linePitch="360"/>
        </w:sectPr>
      </w:pPr>
    </w:p>
    <w:p w14:paraId="62CD2679" w14:textId="2388E927" w:rsidR="00FF1B81" w:rsidRPr="004D67ED" w:rsidRDefault="00FF1B81" w:rsidP="004D67ED">
      <w:pPr>
        <w:spacing w:after="0"/>
        <w:jc w:val="both"/>
        <w:rPr>
          <w:rFonts w:ascii="Times New Roman" w:hAnsi="Times New Roman" w:cs="Times New Roman"/>
          <w:b/>
          <w:bCs/>
          <w:color w:val="A02B93" w:themeColor="accent5"/>
          <w:lang w:val="en-US"/>
        </w:rPr>
      </w:pPr>
      <w:r w:rsidRPr="004D67ED">
        <w:rPr>
          <w:rFonts w:ascii="Times New Roman" w:hAnsi="Times New Roman" w:cs="Times New Roman"/>
          <w:b/>
          <w:bCs/>
          <w:color w:val="A02B93" w:themeColor="accent5"/>
          <w:lang w:val="en-US"/>
        </w:rPr>
        <w:lastRenderedPageBreak/>
        <w:t>Notes on the KPI Dashboard:</w:t>
      </w:r>
    </w:p>
    <w:p w14:paraId="0D22D30F" w14:textId="08882235" w:rsidR="003A6337" w:rsidRPr="004D67ED" w:rsidRDefault="00842B7C" w:rsidP="0015541B">
      <w:pPr>
        <w:jc w:val="both"/>
        <w:rPr>
          <w:rFonts w:ascii="Times New Roman" w:hAnsi="Times New Roman" w:cs="Times New Roman"/>
          <w:color w:val="A02B93" w:themeColor="accent5"/>
          <w:lang w:val="en-US"/>
        </w:rPr>
      </w:pPr>
      <w:r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The four (4) KPIs </w:t>
      </w:r>
      <w:r w:rsidR="005304ED">
        <w:rPr>
          <w:rFonts w:ascii="Times New Roman" w:hAnsi="Times New Roman" w:cs="Times New Roman"/>
          <w:color w:val="A02B93" w:themeColor="accent5"/>
          <w:lang w:val="en-US"/>
        </w:rPr>
        <w:t>presented on</w:t>
      </w:r>
      <w:r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the </w:t>
      </w:r>
      <w:r w:rsidR="004059AE" w:rsidRPr="004D67ED">
        <w:rPr>
          <w:rFonts w:ascii="Times New Roman" w:hAnsi="Times New Roman" w:cs="Times New Roman"/>
          <w:color w:val="A02B93" w:themeColor="accent5"/>
          <w:lang w:val="en-US"/>
        </w:rPr>
        <w:t>Dashboard</w:t>
      </w:r>
      <w:r w:rsidR="00465A4E">
        <w:rPr>
          <w:rFonts w:ascii="Times New Roman" w:hAnsi="Times New Roman" w:cs="Times New Roman"/>
          <w:color w:val="A02B93" w:themeColor="accent5"/>
          <w:lang w:val="en-US"/>
        </w:rPr>
        <w:t xml:space="preserve"> should provide insightful information that can be used to gauge the health</w:t>
      </w:r>
      <w:r w:rsidR="005304ED">
        <w:rPr>
          <w:rFonts w:ascii="Times New Roman" w:hAnsi="Times New Roman" w:cs="Times New Roman"/>
          <w:color w:val="A02B93" w:themeColor="accent5"/>
          <w:lang w:val="en-US"/>
        </w:rPr>
        <w:t xml:space="preserve"> of the Ministry and the sector(s)</w:t>
      </w:r>
      <w:r w:rsidR="00990870">
        <w:rPr>
          <w:rFonts w:ascii="Times New Roman" w:hAnsi="Times New Roman" w:cs="Times New Roman"/>
          <w:color w:val="A02B93" w:themeColor="accent5"/>
          <w:lang w:val="en-US"/>
        </w:rPr>
        <w:t xml:space="preserve"> it serves</w:t>
      </w:r>
      <w:r w:rsidR="005304ED">
        <w:rPr>
          <w:rFonts w:ascii="Times New Roman" w:hAnsi="Times New Roman" w:cs="Times New Roman"/>
          <w:color w:val="A02B93" w:themeColor="accent5"/>
          <w:lang w:val="en-US"/>
        </w:rPr>
        <w:t>.</w:t>
      </w:r>
      <w:r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</w:t>
      </w:r>
      <w:r w:rsidR="005304ED">
        <w:rPr>
          <w:rFonts w:ascii="Times New Roman" w:hAnsi="Times New Roman" w:cs="Times New Roman"/>
          <w:color w:val="A02B93" w:themeColor="accent5"/>
          <w:lang w:val="en-US"/>
        </w:rPr>
        <w:t xml:space="preserve">These KPIs </w:t>
      </w:r>
      <w:r w:rsidRPr="004D67ED">
        <w:rPr>
          <w:rFonts w:ascii="Times New Roman" w:hAnsi="Times New Roman" w:cs="Times New Roman"/>
          <w:color w:val="A02B93" w:themeColor="accent5"/>
          <w:lang w:val="en-US"/>
        </w:rPr>
        <w:t>are to be selected from separate strategic objectives</w:t>
      </w:r>
      <w:r w:rsidR="00922558">
        <w:rPr>
          <w:rFonts w:ascii="Times New Roman" w:hAnsi="Times New Roman" w:cs="Times New Roman"/>
          <w:color w:val="A02B93" w:themeColor="accent5"/>
          <w:lang w:val="en-US"/>
        </w:rPr>
        <w:t xml:space="preserve"> or separate </w:t>
      </w:r>
      <w:r w:rsidR="008714BB">
        <w:rPr>
          <w:rFonts w:ascii="Times New Roman" w:hAnsi="Times New Roman" w:cs="Times New Roman"/>
          <w:color w:val="A02B93" w:themeColor="accent5"/>
          <w:lang w:val="en-US"/>
        </w:rPr>
        <w:t>sub-</w:t>
      </w:r>
      <w:r w:rsidR="00934D72">
        <w:rPr>
          <w:rFonts w:ascii="Times New Roman" w:hAnsi="Times New Roman" w:cs="Times New Roman"/>
          <w:color w:val="A02B93" w:themeColor="accent5"/>
          <w:lang w:val="en-US"/>
        </w:rPr>
        <w:t>programmes and</w:t>
      </w:r>
      <w:r w:rsidR="00750A8C">
        <w:rPr>
          <w:rFonts w:ascii="Times New Roman" w:hAnsi="Times New Roman" w:cs="Times New Roman"/>
          <w:color w:val="A02B93" w:themeColor="accent5"/>
          <w:lang w:val="en-US"/>
        </w:rPr>
        <w:t xml:space="preserve"> be linked to the outcomes of the strategic plan</w:t>
      </w:r>
      <w:r w:rsidR="0015541B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. </w:t>
      </w:r>
      <w:r w:rsidR="00A306D5" w:rsidRPr="004D67ED">
        <w:rPr>
          <w:rFonts w:ascii="Times New Roman" w:hAnsi="Times New Roman" w:cs="Times New Roman"/>
          <w:color w:val="A02B93" w:themeColor="accent5"/>
          <w:lang w:val="en-US"/>
        </w:rPr>
        <w:t>The selected</w:t>
      </w:r>
      <w:r w:rsidR="00B33662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KPI</w:t>
      </w:r>
      <w:r w:rsidR="00A306D5" w:rsidRPr="004D67ED">
        <w:rPr>
          <w:rFonts w:ascii="Times New Roman" w:hAnsi="Times New Roman" w:cs="Times New Roman"/>
          <w:color w:val="A02B93" w:themeColor="accent5"/>
          <w:lang w:val="en-US"/>
        </w:rPr>
        <w:t>s</w:t>
      </w:r>
      <w:r w:rsidR="00B33662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must </w:t>
      </w:r>
      <w:r w:rsidR="005C658B">
        <w:rPr>
          <w:rFonts w:ascii="Times New Roman" w:hAnsi="Times New Roman" w:cs="Times New Roman"/>
          <w:color w:val="A02B93" w:themeColor="accent5"/>
          <w:lang w:val="en-US"/>
        </w:rPr>
        <w:t xml:space="preserve">be </w:t>
      </w:r>
      <w:r w:rsidR="00E16023">
        <w:rPr>
          <w:rFonts w:ascii="Times New Roman" w:hAnsi="Times New Roman" w:cs="Times New Roman"/>
          <w:color w:val="A02B93" w:themeColor="accent5"/>
          <w:lang w:val="en-US"/>
        </w:rPr>
        <w:t xml:space="preserve">quantitative </w:t>
      </w:r>
      <w:r w:rsidR="001B5EA3">
        <w:rPr>
          <w:rFonts w:ascii="Times New Roman" w:hAnsi="Times New Roman" w:cs="Times New Roman"/>
          <w:color w:val="A02B93" w:themeColor="accent5"/>
          <w:lang w:val="en-US"/>
        </w:rPr>
        <w:t>with</w:t>
      </w:r>
      <w:r w:rsidR="009F3EDB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at least five </w:t>
      </w:r>
      <w:r w:rsidR="0032502D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(5) </w:t>
      </w:r>
      <w:r w:rsidR="00993895" w:rsidRPr="00993895">
        <w:rPr>
          <w:rFonts w:ascii="Times New Roman" w:hAnsi="Times New Roman" w:cs="Times New Roman"/>
          <w:b/>
          <w:bCs/>
          <w:color w:val="A02B93" w:themeColor="accent5"/>
          <w:lang w:val="en-US"/>
        </w:rPr>
        <w:t>actual</w:t>
      </w:r>
      <w:r w:rsidR="009F3EDB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data points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</w:t>
      </w:r>
      <w:r w:rsidR="00993895">
        <w:rPr>
          <w:rFonts w:ascii="Times New Roman" w:hAnsi="Times New Roman" w:cs="Times New Roman"/>
          <w:color w:val="A02B93" w:themeColor="accent5"/>
          <w:lang w:val="en-US"/>
        </w:rPr>
        <w:t xml:space="preserve">plus </w:t>
      </w:r>
      <w:r w:rsidR="009B707D">
        <w:rPr>
          <w:rFonts w:ascii="Times New Roman" w:hAnsi="Times New Roman" w:cs="Times New Roman"/>
          <w:color w:val="A02B93" w:themeColor="accent5"/>
          <w:lang w:val="en-US"/>
        </w:rPr>
        <w:t>a forecast for the upcoming period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. </w:t>
      </w:r>
      <w:r w:rsidR="00CB6DD8">
        <w:rPr>
          <w:rFonts w:ascii="Times New Roman" w:hAnsi="Times New Roman" w:cs="Times New Roman"/>
          <w:color w:val="A02B93" w:themeColor="accent5"/>
          <w:lang w:val="en-US"/>
        </w:rPr>
        <w:t xml:space="preserve">At least two of the </w:t>
      </w:r>
      <w:r w:rsidR="007D11B9">
        <w:rPr>
          <w:rFonts w:ascii="Times New Roman" w:hAnsi="Times New Roman" w:cs="Times New Roman"/>
          <w:color w:val="A02B93" w:themeColor="accent5"/>
          <w:lang w:val="en-US"/>
        </w:rPr>
        <w:t xml:space="preserve">selected </w:t>
      </w:r>
      <w:r w:rsidR="00CB6DD8">
        <w:rPr>
          <w:rFonts w:ascii="Times New Roman" w:hAnsi="Times New Roman" w:cs="Times New Roman"/>
          <w:color w:val="A02B93" w:themeColor="accent5"/>
          <w:lang w:val="en-US"/>
        </w:rPr>
        <w:t xml:space="preserve">KPIs </w:t>
      </w:r>
      <w:r w:rsidR="007D11B9">
        <w:rPr>
          <w:rFonts w:ascii="Times New Roman" w:hAnsi="Times New Roman" w:cs="Times New Roman"/>
          <w:color w:val="A02B93" w:themeColor="accent5"/>
          <w:lang w:val="en-US"/>
        </w:rPr>
        <w:t>must</w:t>
      </w:r>
      <w:r w:rsidR="00CB6DD8">
        <w:rPr>
          <w:rFonts w:ascii="Times New Roman" w:hAnsi="Times New Roman" w:cs="Times New Roman"/>
          <w:color w:val="A02B93" w:themeColor="accent5"/>
          <w:lang w:val="en-US"/>
        </w:rPr>
        <w:t xml:space="preserve"> be trackable on a </w:t>
      </w:r>
      <w:r w:rsidR="00CB6DD8" w:rsidRPr="00CB6DD8">
        <w:rPr>
          <w:rFonts w:ascii="Times New Roman" w:hAnsi="Times New Roman" w:cs="Times New Roman"/>
          <w:b/>
          <w:bCs/>
          <w:color w:val="A02B93" w:themeColor="accent5"/>
          <w:lang w:val="en-US"/>
        </w:rPr>
        <w:t>quarterly</w:t>
      </w:r>
      <w:r w:rsidR="00CB6DD8">
        <w:rPr>
          <w:rFonts w:ascii="Times New Roman" w:hAnsi="Times New Roman" w:cs="Times New Roman"/>
          <w:color w:val="A02B93" w:themeColor="accent5"/>
          <w:lang w:val="en-US"/>
        </w:rPr>
        <w:t xml:space="preserve"> basis</w:t>
      </w:r>
      <w:r w:rsidR="00920C8D">
        <w:rPr>
          <w:rFonts w:ascii="Times New Roman" w:hAnsi="Times New Roman" w:cs="Times New Roman"/>
          <w:color w:val="A02B93" w:themeColor="accent5"/>
          <w:lang w:val="en-US"/>
        </w:rPr>
        <w:t xml:space="preserve"> – others may be trackable on a semi-annual or annual basis</w:t>
      </w:r>
      <w:r w:rsidR="00CB6DD8">
        <w:rPr>
          <w:rFonts w:ascii="Times New Roman" w:hAnsi="Times New Roman" w:cs="Times New Roman"/>
          <w:color w:val="A02B93" w:themeColor="accent5"/>
          <w:lang w:val="en-US"/>
        </w:rPr>
        <w:t xml:space="preserve">. 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>T</w:t>
      </w:r>
      <w:r w:rsidR="00EC1682" w:rsidRPr="004D67ED">
        <w:rPr>
          <w:rFonts w:ascii="Times New Roman" w:hAnsi="Times New Roman" w:cs="Times New Roman"/>
          <w:color w:val="A02B93" w:themeColor="accent5"/>
          <w:lang w:val="en-US"/>
        </w:rPr>
        <w:t>he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selected</w:t>
      </w:r>
      <w:r w:rsidR="00EC1682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KPIs 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should </w:t>
      </w:r>
      <w:r w:rsidR="0029545D">
        <w:rPr>
          <w:rFonts w:ascii="Times New Roman" w:hAnsi="Times New Roman" w:cs="Times New Roman"/>
          <w:color w:val="A02B93" w:themeColor="accent5"/>
          <w:lang w:val="en-US"/>
        </w:rPr>
        <w:t xml:space="preserve">only be 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>change</w:t>
      </w:r>
      <w:r w:rsidR="0029545D">
        <w:rPr>
          <w:rFonts w:ascii="Times New Roman" w:hAnsi="Times New Roman" w:cs="Times New Roman"/>
          <w:color w:val="A02B93" w:themeColor="accent5"/>
          <w:lang w:val="en-US"/>
        </w:rPr>
        <w:t>d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after</w:t>
      </w:r>
      <w:r w:rsidR="004107C4" w:rsidRPr="004D67ED">
        <w:rPr>
          <w:rFonts w:ascii="Times New Roman" w:hAnsi="Times New Roman" w:cs="Times New Roman"/>
          <w:color w:val="A02B93" w:themeColor="accent5"/>
          <w:lang w:val="en-US"/>
        </w:rPr>
        <w:t>: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</w:t>
      </w:r>
      <w:bookmarkStart w:id="6" w:name="_Hlk173589941"/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(1) 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>the relevant strategic objective</w:t>
      </w:r>
      <w:r w:rsidR="006212F5">
        <w:rPr>
          <w:rFonts w:ascii="Times New Roman" w:hAnsi="Times New Roman" w:cs="Times New Roman"/>
          <w:color w:val="A02B93" w:themeColor="accent5"/>
          <w:lang w:val="en-US"/>
        </w:rPr>
        <w:t>/programme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has been </w:t>
      </w:r>
      <w:r w:rsidR="00037906">
        <w:rPr>
          <w:rFonts w:ascii="Times New Roman" w:hAnsi="Times New Roman" w:cs="Times New Roman"/>
          <w:color w:val="A02B93" w:themeColor="accent5"/>
          <w:lang w:val="en-US"/>
        </w:rPr>
        <w:t>achieved</w:t>
      </w:r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or </w:t>
      </w:r>
      <w:proofErr w:type="spellStart"/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>deprioiritised</w:t>
      </w:r>
      <w:proofErr w:type="spellEnd"/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, </w:t>
      </w:r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(2) 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a new </w:t>
      </w:r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>KPI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which provides more useful</w:t>
      </w:r>
      <w:r w:rsidR="000B103C" w:rsidRPr="004D67ED">
        <w:rPr>
          <w:rFonts w:ascii="Times New Roman" w:hAnsi="Times New Roman" w:cs="Times New Roman"/>
          <w:color w:val="A02B93" w:themeColor="accent5"/>
          <w:lang w:val="en-US"/>
        </w:rPr>
        <w:t>/insightful</w:t>
      </w:r>
      <w:r w:rsidR="00E97AFF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information has been developed</w:t>
      </w:r>
      <w:r w:rsidR="000B103C" w:rsidRPr="004D67ED">
        <w:rPr>
          <w:rFonts w:ascii="Times New Roman" w:hAnsi="Times New Roman" w:cs="Times New Roman"/>
          <w:color w:val="A02B93" w:themeColor="accent5"/>
          <w:lang w:val="en-US"/>
        </w:rPr>
        <w:t>/identified</w:t>
      </w:r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>, or (3) there has been</w:t>
      </w:r>
      <w:r w:rsidR="000B103C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a</w:t>
      </w:r>
      <w:r w:rsidR="009F443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shift in the strategic direction of the Ministry.</w:t>
      </w:r>
      <w:bookmarkEnd w:id="6"/>
      <w:r w:rsidR="00AB7C0E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</w:t>
      </w:r>
      <w:r w:rsidR="00CE2A67" w:rsidRPr="004D67ED">
        <w:rPr>
          <w:rFonts w:ascii="Times New Roman" w:hAnsi="Times New Roman" w:cs="Times New Roman"/>
          <w:color w:val="A02B93" w:themeColor="accent5"/>
          <w:lang w:val="en-US"/>
        </w:rPr>
        <w:t>A</w:t>
      </w:r>
      <w:r w:rsidR="00A54063">
        <w:rPr>
          <w:rFonts w:ascii="Times New Roman" w:hAnsi="Times New Roman" w:cs="Times New Roman"/>
          <w:color w:val="A02B93" w:themeColor="accent5"/>
          <w:lang w:val="en-US"/>
        </w:rPr>
        <w:t xml:space="preserve"> multi-period</w:t>
      </w:r>
      <w:r w:rsidR="00CE2A6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focus on the same KPIs will allow for a better assessment of </w:t>
      </w:r>
      <w:r w:rsidR="008714BB">
        <w:rPr>
          <w:rFonts w:ascii="Times New Roman" w:hAnsi="Times New Roman" w:cs="Times New Roman"/>
          <w:color w:val="A02B93" w:themeColor="accent5"/>
          <w:lang w:val="en-US"/>
        </w:rPr>
        <w:t>sub-</w:t>
      </w:r>
      <w:r w:rsidR="00CE2A67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programme </w:t>
      </w:r>
      <w:r w:rsidR="00C2244C">
        <w:rPr>
          <w:rFonts w:ascii="Times New Roman" w:hAnsi="Times New Roman" w:cs="Times New Roman"/>
          <w:color w:val="A02B93" w:themeColor="accent5"/>
          <w:lang w:val="en-US"/>
        </w:rPr>
        <w:t xml:space="preserve">and ministerial </w:t>
      </w:r>
      <w:r w:rsidR="00CE2A67" w:rsidRPr="004D67ED">
        <w:rPr>
          <w:rFonts w:ascii="Times New Roman" w:hAnsi="Times New Roman" w:cs="Times New Roman"/>
          <w:color w:val="A02B93" w:themeColor="accent5"/>
          <w:lang w:val="en-US"/>
        </w:rPr>
        <w:t>performance</w:t>
      </w:r>
      <w:r w:rsidR="007179F0" w:rsidRPr="004D67ED">
        <w:rPr>
          <w:rFonts w:ascii="Times New Roman" w:hAnsi="Times New Roman" w:cs="Times New Roman"/>
          <w:color w:val="A02B93" w:themeColor="accent5"/>
          <w:lang w:val="en-US"/>
        </w:rPr>
        <w:t xml:space="preserve"> during the medium-term implementation period.</w:t>
      </w:r>
    </w:p>
    <w:p w14:paraId="51F26657" w14:textId="4DF2258F" w:rsidR="00FF1B81" w:rsidRPr="006D3949" w:rsidRDefault="00FF1B81" w:rsidP="00FF1B81">
      <w:pPr>
        <w:pStyle w:val="Heading2"/>
        <w:rPr>
          <w:rFonts w:ascii="Elephant" w:hAnsi="Elephant"/>
          <w:color w:val="0000FF"/>
          <w:lang w:val="en-US"/>
        </w:rPr>
      </w:pPr>
      <w:bookmarkStart w:id="7" w:name="_Toc223953906"/>
      <w:r>
        <w:rPr>
          <w:rFonts w:ascii="Elephant" w:hAnsi="Elephant"/>
          <w:color w:val="0000FF"/>
          <w:lang w:val="en-US"/>
        </w:rPr>
        <w:t>2.</w:t>
      </w:r>
      <w:r w:rsidR="00F85C5E">
        <w:rPr>
          <w:rFonts w:ascii="Elephant" w:hAnsi="Elephant"/>
          <w:color w:val="0000FF"/>
          <w:lang w:val="en-US"/>
        </w:rPr>
        <w:t>3</w:t>
      </w:r>
      <w:r>
        <w:rPr>
          <w:rFonts w:ascii="Elephant" w:hAnsi="Elephant"/>
          <w:color w:val="0000FF"/>
          <w:lang w:val="en-US"/>
        </w:rPr>
        <w:t xml:space="preserve"> </w:t>
      </w:r>
      <w:r w:rsidRPr="006D3949">
        <w:rPr>
          <w:rFonts w:ascii="Elephant" w:hAnsi="Elephant"/>
          <w:color w:val="0000FF"/>
          <w:lang w:val="en-US"/>
        </w:rPr>
        <w:t>Trend Analysis of KPIs</w:t>
      </w:r>
      <w:bookmarkEnd w:id="7"/>
    </w:p>
    <w:p w14:paraId="58ACE8E7" w14:textId="0CCD0C1A" w:rsidR="00252F7A" w:rsidRPr="00E9705A" w:rsidRDefault="00FF1B81" w:rsidP="0015541B">
      <w:pPr>
        <w:jc w:val="both"/>
        <w:rPr>
          <w:rFonts w:ascii="Times New Roman" w:hAnsi="Times New Roman" w:cs="Times New Roman"/>
          <w:color w:val="0000FF"/>
          <w:lang w:val="en-US"/>
        </w:rPr>
      </w:pPr>
      <w:r w:rsidRPr="00E9705A">
        <w:rPr>
          <w:rFonts w:ascii="Times New Roman" w:hAnsi="Times New Roman" w:cs="Times New Roman"/>
          <w:color w:val="0000FF"/>
          <w:lang w:val="en-US"/>
        </w:rPr>
        <w:t xml:space="preserve">This </w:t>
      </w:r>
      <w:r w:rsidR="009B3EAB">
        <w:rPr>
          <w:rFonts w:ascii="Times New Roman" w:hAnsi="Times New Roman" w:cs="Times New Roman"/>
          <w:color w:val="0000FF"/>
          <w:lang w:val="en-US"/>
        </w:rPr>
        <w:t>sub-</w:t>
      </w:r>
      <w:r>
        <w:rPr>
          <w:rFonts w:ascii="Times New Roman" w:hAnsi="Times New Roman" w:cs="Times New Roman"/>
          <w:color w:val="0000FF"/>
          <w:lang w:val="en-US"/>
        </w:rPr>
        <w:t>section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 should </w:t>
      </w:r>
      <w:r w:rsidR="0080609F">
        <w:rPr>
          <w:rFonts w:ascii="Times New Roman" w:hAnsi="Times New Roman" w:cs="Times New Roman"/>
          <w:color w:val="0000FF"/>
          <w:lang w:val="en-US"/>
        </w:rPr>
        <w:t xml:space="preserve">be </w:t>
      </w:r>
      <w:r w:rsidR="00D22765" w:rsidRPr="00E9705A">
        <w:rPr>
          <w:rFonts w:ascii="Times New Roman" w:hAnsi="Times New Roman" w:cs="Times New Roman"/>
          <w:color w:val="0000FF"/>
          <w:lang w:val="en-US"/>
        </w:rPr>
        <w:t>contain</w:t>
      </w:r>
      <w:r w:rsidR="0080609F">
        <w:rPr>
          <w:rFonts w:ascii="Times New Roman" w:hAnsi="Times New Roman" w:cs="Times New Roman"/>
          <w:color w:val="0000FF"/>
          <w:lang w:val="en-US"/>
        </w:rPr>
        <w:t>ed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4D67ED">
        <w:rPr>
          <w:rFonts w:ascii="Times New Roman" w:hAnsi="Times New Roman" w:cs="Times New Roman"/>
          <w:color w:val="0000FF"/>
          <w:lang w:val="en-US"/>
        </w:rPr>
        <w:t xml:space="preserve">on </w:t>
      </w:r>
      <w:r w:rsidRPr="00E9705A">
        <w:rPr>
          <w:rFonts w:ascii="Times New Roman" w:hAnsi="Times New Roman" w:cs="Times New Roman"/>
          <w:color w:val="0000FF"/>
          <w:lang w:val="en-US"/>
        </w:rPr>
        <w:t>no more than three (3) pages</w:t>
      </w:r>
      <w:r w:rsidR="00670C86">
        <w:rPr>
          <w:rFonts w:ascii="Times New Roman" w:hAnsi="Times New Roman" w:cs="Times New Roman"/>
          <w:color w:val="0000FF"/>
          <w:lang w:val="en-US"/>
        </w:rPr>
        <w:t>. It should present</w:t>
      </w:r>
      <w:r w:rsidR="009F4437"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bookmarkStart w:id="8" w:name="_Hlk173587805"/>
      <w:r w:rsidR="00B747B2">
        <w:rPr>
          <w:rFonts w:ascii="Times New Roman" w:hAnsi="Times New Roman" w:cs="Times New Roman"/>
          <w:color w:val="0000FF"/>
          <w:lang w:val="en-US"/>
        </w:rPr>
        <w:t>an</w:t>
      </w:r>
      <w:r w:rsidR="00206AE8">
        <w:rPr>
          <w:rFonts w:ascii="Times New Roman" w:hAnsi="Times New Roman" w:cs="Times New Roman"/>
          <w:color w:val="0000FF"/>
          <w:lang w:val="en-US"/>
        </w:rPr>
        <w:t xml:space="preserve"> analysis o</w:t>
      </w:r>
      <w:r w:rsidR="0080609F">
        <w:rPr>
          <w:rFonts w:ascii="Times New Roman" w:hAnsi="Times New Roman" w:cs="Times New Roman"/>
          <w:color w:val="0000FF"/>
          <w:lang w:val="en-US"/>
        </w:rPr>
        <w:t>f</w:t>
      </w:r>
      <w:r w:rsidR="00206AE8">
        <w:rPr>
          <w:rFonts w:ascii="Times New Roman" w:hAnsi="Times New Roman" w:cs="Times New Roman"/>
          <w:color w:val="0000FF"/>
          <w:lang w:val="en-US"/>
        </w:rPr>
        <w:t xml:space="preserve"> EACH of the KPIs presented on the Dashboard</w:t>
      </w:r>
      <w:r w:rsidR="00125A89">
        <w:rPr>
          <w:rFonts w:ascii="Times New Roman" w:hAnsi="Times New Roman" w:cs="Times New Roman"/>
          <w:color w:val="0000FF"/>
          <w:lang w:val="en-US"/>
        </w:rPr>
        <w:t xml:space="preserve">, </w:t>
      </w:r>
      <w:r w:rsidR="00D22765">
        <w:rPr>
          <w:rFonts w:ascii="Times New Roman" w:hAnsi="Times New Roman" w:cs="Times New Roman"/>
          <w:color w:val="0000FF"/>
          <w:lang w:val="en-US"/>
        </w:rPr>
        <w:t>outlin</w:t>
      </w:r>
      <w:r w:rsidR="00D34506">
        <w:rPr>
          <w:rFonts w:ascii="Times New Roman" w:hAnsi="Times New Roman" w:cs="Times New Roman"/>
          <w:color w:val="0000FF"/>
          <w:lang w:val="en-US"/>
        </w:rPr>
        <w:t>ing</w:t>
      </w:r>
      <w:r w:rsidR="00252F7A" w:rsidRPr="00E9705A">
        <w:rPr>
          <w:rFonts w:ascii="Times New Roman" w:hAnsi="Times New Roman" w:cs="Times New Roman"/>
          <w:color w:val="0000FF"/>
          <w:lang w:val="en-US"/>
        </w:rPr>
        <w:t>:</w:t>
      </w:r>
    </w:p>
    <w:p w14:paraId="2D339669" w14:textId="480EF85D" w:rsidR="008E369A" w:rsidRDefault="00106146" w:rsidP="00252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>
        <w:rPr>
          <w:rFonts w:ascii="Times New Roman" w:hAnsi="Times New Roman" w:cs="Times New Roman"/>
          <w:color w:val="0000FF"/>
          <w:lang w:val="en-US"/>
        </w:rPr>
        <w:t>W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hy </w:t>
      </w:r>
      <w:r>
        <w:rPr>
          <w:rFonts w:ascii="Times New Roman" w:hAnsi="Times New Roman" w:cs="Times New Roman"/>
          <w:color w:val="0000FF"/>
          <w:lang w:val="en-US"/>
        </w:rPr>
        <w:t xml:space="preserve">this </w:t>
      </w:r>
      <w:proofErr w:type="gramStart"/>
      <w:r>
        <w:rPr>
          <w:rFonts w:ascii="Times New Roman" w:hAnsi="Times New Roman" w:cs="Times New Roman"/>
          <w:color w:val="0000FF"/>
          <w:lang w:val="en-US"/>
        </w:rPr>
        <w:t>particular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E56114">
        <w:rPr>
          <w:rFonts w:ascii="Times New Roman" w:hAnsi="Times New Roman" w:cs="Times New Roman"/>
          <w:color w:val="0000FF"/>
          <w:lang w:val="en-US"/>
        </w:rPr>
        <w:t>KPI</w:t>
      </w:r>
      <w:proofErr w:type="gramEnd"/>
      <w:r>
        <w:rPr>
          <w:rFonts w:ascii="Times New Roman" w:hAnsi="Times New Roman" w:cs="Times New Roman"/>
          <w:color w:val="0000FF"/>
          <w:lang w:val="en-US"/>
        </w:rPr>
        <w:t xml:space="preserve"> was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 selected</w:t>
      </w:r>
      <w:r>
        <w:rPr>
          <w:rFonts w:ascii="Times New Roman" w:hAnsi="Times New Roman" w:cs="Times New Roman"/>
          <w:color w:val="0000FF"/>
          <w:lang w:val="en-US"/>
        </w:rPr>
        <w:t xml:space="preserve"> for measuring medium-term results</w:t>
      </w:r>
      <w:r w:rsidR="008E369A">
        <w:rPr>
          <w:rFonts w:ascii="Times New Roman" w:hAnsi="Times New Roman" w:cs="Times New Roman"/>
          <w:color w:val="0000FF"/>
          <w:lang w:val="en-US"/>
        </w:rPr>
        <w:t>.</w:t>
      </w:r>
    </w:p>
    <w:p w14:paraId="4573E8DB" w14:textId="0A4FA36E" w:rsidR="002B1594" w:rsidRPr="00E9705A" w:rsidRDefault="002B1594" w:rsidP="00252F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 w:rsidRPr="00E9705A">
        <w:rPr>
          <w:rFonts w:ascii="Times New Roman" w:hAnsi="Times New Roman" w:cs="Times New Roman"/>
          <w:color w:val="0000FF"/>
          <w:lang w:val="en-US"/>
        </w:rPr>
        <w:t>The short and medium-term targets</w:t>
      </w:r>
      <w:r w:rsidR="00125A89">
        <w:rPr>
          <w:rFonts w:ascii="Times New Roman" w:hAnsi="Times New Roman" w:cs="Times New Roman"/>
          <w:color w:val="0000FF"/>
          <w:lang w:val="en-US"/>
        </w:rPr>
        <w:t xml:space="preserve"> for </w:t>
      </w:r>
      <w:r w:rsidR="008E369A">
        <w:rPr>
          <w:rFonts w:ascii="Times New Roman" w:hAnsi="Times New Roman" w:cs="Times New Roman"/>
          <w:color w:val="0000FF"/>
          <w:lang w:val="en-US"/>
        </w:rPr>
        <w:t>the</w:t>
      </w:r>
      <w:r w:rsidR="00125A89">
        <w:rPr>
          <w:rFonts w:ascii="Times New Roman" w:hAnsi="Times New Roman" w:cs="Times New Roman"/>
          <w:color w:val="0000FF"/>
          <w:lang w:val="en-US"/>
        </w:rPr>
        <w:t xml:space="preserve"> KPI</w:t>
      </w:r>
      <w:r w:rsidRPr="00E9705A">
        <w:rPr>
          <w:rFonts w:ascii="Times New Roman" w:hAnsi="Times New Roman" w:cs="Times New Roman"/>
          <w:color w:val="0000FF"/>
          <w:lang w:val="en-US"/>
        </w:rPr>
        <w:t>.</w:t>
      </w:r>
    </w:p>
    <w:p w14:paraId="60148D41" w14:textId="7FAD9AA4" w:rsidR="005839F2" w:rsidRPr="00E9705A" w:rsidRDefault="002B1594" w:rsidP="002B159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 w:rsidRPr="00E9705A">
        <w:rPr>
          <w:rFonts w:ascii="Times New Roman" w:hAnsi="Times New Roman" w:cs="Times New Roman"/>
          <w:color w:val="0000FF"/>
          <w:lang w:val="en-US"/>
        </w:rPr>
        <w:t>Noticeable trends and t</w:t>
      </w:r>
      <w:r w:rsidR="00AE687F" w:rsidRPr="00E9705A">
        <w:rPr>
          <w:rFonts w:ascii="Times New Roman" w:hAnsi="Times New Roman" w:cs="Times New Roman"/>
          <w:color w:val="0000FF"/>
          <w:lang w:val="en-US"/>
        </w:rPr>
        <w:t xml:space="preserve">he </w:t>
      </w:r>
      <w:r w:rsidR="0043709D" w:rsidRPr="00E9705A">
        <w:rPr>
          <w:rFonts w:ascii="Times New Roman" w:hAnsi="Times New Roman" w:cs="Times New Roman"/>
          <w:color w:val="0000FF"/>
          <w:lang w:val="en-US"/>
        </w:rPr>
        <w:t xml:space="preserve">possible </w:t>
      </w:r>
      <w:r w:rsidR="003A6337" w:rsidRPr="00E9705A">
        <w:rPr>
          <w:rFonts w:ascii="Times New Roman" w:hAnsi="Times New Roman" w:cs="Times New Roman"/>
          <w:color w:val="0000FF"/>
          <w:lang w:val="en-US"/>
        </w:rPr>
        <w:t xml:space="preserve">factors </w:t>
      </w:r>
      <w:r w:rsidR="00CB531C" w:rsidRPr="00E9705A">
        <w:rPr>
          <w:rFonts w:ascii="Times New Roman" w:hAnsi="Times New Roman" w:cs="Times New Roman"/>
          <w:color w:val="0000FF"/>
          <w:lang w:val="en-US"/>
        </w:rPr>
        <w:t>contributing to</w:t>
      </w:r>
      <w:r w:rsidR="003A6337" w:rsidRPr="00E9705A">
        <w:rPr>
          <w:rFonts w:ascii="Times New Roman" w:hAnsi="Times New Roman" w:cs="Times New Roman"/>
          <w:color w:val="0000FF"/>
          <w:lang w:val="en-US"/>
        </w:rPr>
        <w:t xml:space="preserve"> or responsible for these movements. </w:t>
      </w:r>
    </w:p>
    <w:p w14:paraId="0BE33734" w14:textId="31370F19" w:rsidR="005839F2" w:rsidRPr="00E9705A" w:rsidRDefault="003A6337" w:rsidP="002B159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 w:rsidRPr="00E9705A">
        <w:rPr>
          <w:rFonts w:ascii="Times New Roman" w:hAnsi="Times New Roman" w:cs="Times New Roman"/>
          <w:color w:val="0000FF"/>
          <w:lang w:val="en-US"/>
        </w:rPr>
        <w:t>Comment</w:t>
      </w:r>
      <w:r w:rsidR="00E63014">
        <w:rPr>
          <w:rFonts w:ascii="Times New Roman" w:hAnsi="Times New Roman" w:cs="Times New Roman"/>
          <w:color w:val="0000FF"/>
          <w:lang w:val="en-US"/>
        </w:rPr>
        <w:t>s</w:t>
      </w:r>
      <w:r w:rsidRPr="00E9705A">
        <w:rPr>
          <w:rFonts w:ascii="Times New Roman" w:hAnsi="Times New Roman" w:cs="Times New Roman"/>
          <w:color w:val="0000FF"/>
          <w:lang w:val="en-US"/>
        </w:rPr>
        <w:t xml:space="preserve"> on whether the movements are in a desirable or undesirable direction</w:t>
      </w:r>
      <w:r w:rsidR="002B1594" w:rsidRPr="00E9705A">
        <w:rPr>
          <w:rFonts w:ascii="Times New Roman" w:hAnsi="Times New Roman" w:cs="Times New Roman"/>
          <w:color w:val="0000FF"/>
          <w:lang w:val="en-US"/>
        </w:rPr>
        <w:t xml:space="preserve"> and </w:t>
      </w:r>
      <w:r w:rsidR="00310218" w:rsidRPr="00E9705A">
        <w:rPr>
          <w:rFonts w:ascii="Times New Roman" w:hAnsi="Times New Roman" w:cs="Times New Roman"/>
          <w:color w:val="0000FF"/>
          <w:lang w:val="en-US"/>
        </w:rPr>
        <w:t>whether</w:t>
      </w:r>
      <w:r w:rsidR="006E11FA" w:rsidRPr="00E9705A">
        <w:rPr>
          <w:rFonts w:ascii="Times New Roman" w:hAnsi="Times New Roman" w:cs="Times New Roman"/>
          <w:color w:val="0000FF"/>
          <w:lang w:val="en-US"/>
        </w:rPr>
        <w:t xml:space="preserve"> these movements were </w:t>
      </w:r>
      <w:r w:rsidR="0015541B" w:rsidRPr="00E9705A">
        <w:rPr>
          <w:rFonts w:ascii="Times New Roman" w:hAnsi="Times New Roman" w:cs="Times New Roman"/>
          <w:color w:val="0000FF"/>
          <w:lang w:val="en-US"/>
        </w:rPr>
        <w:t>expected or unexpected</w:t>
      </w:r>
      <w:r w:rsidR="008C001E" w:rsidRPr="00E9705A">
        <w:rPr>
          <w:rFonts w:ascii="Times New Roman" w:hAnsi="Times New Roman" w:cs="Times New Roman"/>
          <w:color w:val="0000FF"/>
          <w:lang w:val="en-US"/>
        </w:rPr>
        <w:t xml:space="preserve"> based on current internal and external developments</w:t>
      </w:r>
      <w:r w:rsidR="002B1594" w:rsidRPr="00E9705A">
        <w:rPr>
          <w:rFonts w:ascii="Times New Roman" w:hAnsi="Times New Roman" w:cs="Times New Roman"/>
          <w:color w:val="0000FF"/>
          <w:lang w:val="en-US"/>
        </w:rPr>
        <w:t>.</w:t>
      </w:r>
    </w:p>
    <w:p w14:paraId="70FC8C34" w14:textId="7933A21E" w:rsidR="00AF6107" w:rsidRPr="00E9705A" w:rsidRDefault="00BF63D2" w:rsidP="001554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>
        <w:rPr>
          <w:rFonts w:ascii="Times New Roman" w:hAnsi="Times New Roman" w:cs="Times New Roman"/>
          <w:color w:val="0000FF"/>
          <w:lang w:val="en-US"/>
        </w:rPr>
        <w:t xml:space="preserve">The possible </w:t>
      </w:r>
      <w:r w:rsidR="00086DF8">
        <w:rPr>
          <w:rFonts w:ascii="Times New Roman" w:hAnsi="Times New Roman" w:cs="Times New Roman"/>
          <w:color w:val="0000FF"/>
          <w:lang w:val="en-US"/>
        </w:rPr>
        <w:t>potential impact of these trends on</w:t>
      </w:r>
      <w:r w:rsidR="003A6337"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5B5689" w:rsidRPr="00E9705A">
        <w:rPr>
          <w:rFonts w:ascii="Times New Roman" w:hAnsi="Times New Roman" w:cs="Times New Roman"/>
          <w:color w:val="0000FF"/>
          <w:lang w:val="en-US"/>
        </w:rPr>
        <w:t>the</w:t>
      </w:r>
      <w:r w:rsidR="007B5715">
        <w:rPr>
          <w:rFonts w:ascii="Times New Roman" w:hAnsi="Times New Roman" w:cs="Times New Roman"/>
          <w:color w:val="0000FF"/>
          <w:lang w:val="en-US"/>
        </w:rPr>
        <w:t xml:space="preserve"> timely</w:t>
      </w:r>
      <w:r w:rsidR="005B5689" w:rsidRPr="00E9705A">
        <w:rPr>
          <w:rFonts w:ascii="Times New Roman" w:hAnsi="Times New Roman" w:cs="Times New Roman"/>
          <w:color w:val="0000FF"/>
          <w:lang w:val="en-US"/>
        </w:rPr>
        <w:t xml:space="preserve"> achievement</w:t>
      </w:r>
      <w:r w:rsidR="003A6337" w:rsidRPr="00E9705A">
        <w:rPr>
          <w:rFonts w:ascii="Times New Roman" w:hAnsi="Times New Roman" w:cs="Times New Roman"/>
          <w:color w:val="0000FF"/>
          <w:lang w:val="en-US"/>
        </w:rPr>
        <w:t xml:space="preserve"> of the Ministr</w:t>
      </w:r>
      <w:r w:rsidR="00086DF8">
        <w:rPr>
          <w:rFonts w:ascii="Times New Roman" w:hAnsi="Times New Roman" w:cs="Times New Roman"/>
          <w:color w:val="0000FF"/>
          <w:lang w:val="en-US"/>
        </w:rPr>
        <w:t>y’s</w:t>
      </w:r>
      <w:r w:rsidR="003A6337" w:rsidRPr="00E9705A">
        <w:rPr>
          <w:rFonts w:ascii="Times New Roman" w:hAnsi="Times New Roman" w:cs="Times New Roman"/>
          <w:color w:val="0000FF"/>
          <w:lang w:val="en-US"/>
        </w:rPr>
        <w:t xml:space="preserve"> strategic objectives and/or any other short or medium-term intended result</w:t>
      </w:r>
      <w:r w:rsidR="007B5715">
        <w:rPr>
          <w:rFonts w:ascii="Times New Roman" w:hAnsi="Times New Roman" w:cs="Times New Roman"/>
          <w:color w:val="0000FF"/>
          <w:lang w:val="en-US"/>
        </w:rPr>
        <w:t>.</w:t>
      </w:r>
    </w:p>
    <w:p w14:paraId="025A289F" w14:textId="3979CF9B" w:rsidR="00C81256" w:rsidRPr="00E9705A" w:rsidRDefault="005B71E9" w:rsidP="001554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>
        <w:rPr>
          <w:rFonts w:ascii="Times New Roman" w:hAnsi="Times New Roman" w:cs="Times New Roman"/>
          <w:color w:val="0000FF"/>
          <w:lang w:val="en-US"/>
        </w:rPr>
        <w:t>A</w:t>
      </w:r>
      <w:r w:rsidR="0015541B" w:rsidRPr="00E9705A">
        <w:rPr>
          <w:rFonts w:ascii="Times New Roman" w:hAnsi="Times New Roman" w:cs="Times New Roman"/>
          <w:color w:val="0000FF"/>
          <w:lang w:val="en-US"/>
        </w:rPr>
        <w:t>t least two (2) response strategie</w:t>
      </w:r>
      <w:r w:rsidR="003E2B5F" w:rsidRPr="00E9705A">
        <w:rPr>
          <w:rFonts w:ascii="Times New Roman" w:hAnsi="Times New Roman" w:cs="Times New Roman"/>
          <w:color w:val="0000FF"/>
          <w:lang w:val="en-US"/>
        </w:rPr>
        <w:t>s</w:t>
      </w:r>
      <w:r w:rsidR="0015541B"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4C0EF3" w:rsidRPr="00E9705A">
        <w:rPr>
          <w:rFonts w:ascii="Times New Roman" w:hAnsi="Times New Roman" w:cs="Times New Roman"/>
          <w:color w:val="0000FF"/>
          <w:lang w:val="en-US"/>
        </w:rPr>
        <w:t>to recover, bolster or guide the</w:t>
      </w:r>
      <w:r w:rsidR="004C0EF3">
        <w:rPr>
          <w:rFonts w:ascii="Times New Roman" w:hAnsi="Times New Roman" w:cs="Times New Roman"/>
          <w:color w:val="0000FF"/>
          <w:lang w:val="en-US"/>
        </w:rPr>
        <w:t xml:space="preserve"> KPI</w:t>
      </w:r>
      <w:r w:rsidR="004C0EF3" w:rsidRPr="00E9705A">
        <w:rPr>
          <w:rFonts w:ascii="Times New Roman" w:hAnsi="Times New Roman" w:cs="Times New Roman"/>
          <w:color w:val="0000FF"/>
          <w:lang w:val="en-US"/>
        </w:rPr>
        <w:t xml:space="preserve"> in the right direction </w:t>
      </w:r>
      <w:r w:rsidR="0015541B" w:rsidRPr="00E9705A">
        <w:rPr>
          <w:rFonts w:ascii="Times New Roman" w:hAnsi="Times New Roman" w:cs="Times New Roman"/>
          <w:color w:val="0000FF"/>
          <w:lang w:val="en-US"/>
        </w:rPr>
        <w:t xml:space="preserve">in </w:t>
      </w:r>
      <w:r w:rsidR="0065125B" w:rsidRPr="00E9705A">
        <w:rPr>
          <w:rFonts w:ascii="Times New Roman" w:hAnsi="Times New Roman" w:cs="Times New Roman"/>
          <w:color w:val="0000FF"/>
          <w:lang w:val="en-US"/>
        </w:rPr>
        <w:t>up</w:t>
      </w:r>
      <w:r w:rsidR="0015541B" w:rsidRPr="00E9705A">
        <w:rPr>
          <w:rFonts w:ascii="Times New Roman" w:hAnsi="Times New Roman" w:cs="Times New Roman"/>
          <w:color w:val="0000FF"/>
          <w:lang w:val="en-US"/>
        </w:rPr>
        <w:t>coming quarters.</w:t>
      </w:r>
    </w:p>
    <w:p w14:paraId="47600FDA" w14:textId="29A18C10" w:rsidR="009F4437" w:rsidRPr="00E9705A" w:rsidRDefault="005345F4" w:rsidP="0015541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lang w:val="en-US"/>
        </w:rPr>
      </w:pPr>
      <w:r>
        <w:rPr>
          <w:rFonts w:ascii="Times New Roman" w:hAnsi="Times New Roman" w:cs="Times New Roman"/>
          <w:color w:val="0000FF"/>
          <w:lang w:val="en-US"/>
        </w:rPr>
        <w:t>The</w:t>
      </w:r>
      <w:r w:rsidR="009F4437" w:rsidRPr="00E9705A">
        <w:rPr>
          <w:rFonts w:ascii="Times New Roman" w:hAnsi="Times New Roman" w:cs="Times New Roman"/>
          <w:color w:val="0000FF"/>
          <w:lang w:val="en-US"/>
        </w:rPr>
        <w:t xml:space="preserve"> </w:t>
      </w:r>
      <w:r w:rsidR="00244089" w:rsidRPr="00E9705A">
        <w:rPr>
          <w:rFonts w:ascii="Times New Roman" w:hAnsi="Times New Roman" w:cs="Times New Roman"/>
          <w:color w:val="0000FF"/>
          <w:u w:val="single"/>
          <w:lang w:val="en-US"/>
        </w:rPr>
        <w:t>E</w:t>
      </w:r>
      <w:r w:rsidR="009F4437" w:rsidRPr="00E9705A">
        <w:rPr>
          <w:rFonts w:ascii="Times New Roman" w:hAnsi="Times New Roman" w:cs="Times New Roman"/>
          <w:color w:val="0000FF"/>
          <w:u w:val="single"/>
          <w:lang w:val="en-US"/>
        </w:rPr>
        <w:t xml:space="preserve">xact </w:t>
      </w:r>
      <w:r w:rsidR="00244089" w:rsidRPr="00E9705A">
        <w:rPr>
          <w:rFonts w:ascii="Times New Roman" w:hAnsi="Times New Roman" w:cs="Times New Roman"/>
          <w:color w:val="0000FF"/>
          <w:u w:val="single"/>
          <w:lang w:val="en-US"/>
        </w:rPr>
        <w:t>F</w:t>
      </w:r>
      <w:r w:rsidR="009F4437" w:rsidRPr="00E9705A">
        <w:rPr>
          <w:rFonts w:ascii="Times New Roman" w:hAnsi="Times New Roman" w:cs="Times New Roman"/>
          <w:color w:val="0000FF"/>
          <w:u w:val="single"/>
          <w:lang w:val="en-US"/>
        </w:rPr>
        <w:t>orecast</w:t>
      </w:r>
      <w:r w:rsidR="009F4437" w:rsidRPr="00E9705A">
        <w:rPr>
          <w:rFonts w:ascii="Times New Roman" w:hAnsi="Times New Roman" w:cs="Times New Roman"/>
          <w:color w:val="0000FF"/>
          <w:lang w:val="en-US"/>
        </w:rPr>
        <w:t xml:space="preserve"> of where the KPI is expected to be in the next quarter</w:t>
      </w:r>
      <w:r w:rsidR="0069609A">
        <w:rPr>
          <w:rFonts w:ascii="Times New Roman" w:hAnsi="Times New Roman" w:cs="Times New Roman"/>
          <w:color w:val="0000FF"/>
          <w:lang w:val="en-US"/>
        </w:rPr>
        <w:t>, based on past performance</w:t>
      </w:r>
      <w:r w:rsidR="009F4437" w:rsidRPr="00E9705A">
        <w:rPr>
          <w:rFonts w:ascii="Times New Roman" w:hAnsi="Times New Roman" w:cs="Times New Roman"/>
          <w:color w:val="0000FF"/>
          <w:lang w:val="en-US"/>
        </w:rPr>
        <w:t>.</w:t>
      </w:r>
      <w:r w:rsidR="00AF7C19">
        <w:rPr>
          <w:rFonts w:ascii="Times New Roman" w:hAnsi="Times New Roman" w:cs="Times New Roman"/>
          <w:color w:val="0000FF"/>
          <w:lang w:val="en-US"/>
        </w:rPr>
        <w:t>]</w:t>
      </w:r>
    </w:p>
    <w:bookmarkEnd w:id="8"/>
    <w:p w14:paraId="352A09E3" w14:textId="4AB94E34" w:rsidR="004E13AE" w:rsidRPr="00E9705A" w:rsidRDefault="00C87D1A" w:rsidP="0015541B">
      <w:pPr>
        <w:jc w:val="both"/>
        <w:rPr>
          <w:rFonts w:ascii="Times New Roman" w:hAnsi="Times New Roman" w:cs="Times New Roman"/>
          <w:color w:val="FF0000"/>
        </w:rPr>
      </w:pPr>
      <w:r w:rsidRPr="00E9705A">
        <w:rPr>
          <w:rFonts w:ascii="Times New Roman" w:hAnsi="Times New Roman" w:cs="Times New Roman"/>
          <w:color w:val="FF0000"/>
        </w:rPr>
        <w:t xml:space="preserve">Below is a Sample Trend Analysis on KPI </w:t>
      </w:r>
      <w:r w:rsidR="00B4334A" w:rsidRPr="00E9705A">
        <w:rPr>
          <w:rFonts w:ascii="Times New Roman" w:hAnsi="Times New Roman" w:cs="Times New Roman"/>
          <w:color w:val="FF0000"/>
        </w:rPr>
        <w:t>#</w:t>
      </w:r>
      <w:r w:rsidRPr="00E9705A">
        <w:rPr>
          <w:rFonts w:ascii="Times New Roman" w:hAnsi="Times New Roman" w:cs="Times New Roman"/>
          <w:color w:val="FF0000"/>
        </w:rPr>
        <w:t>2 from the Dashboard on the previous page:</w:t>
      </w:r>
    </w:p>
    <w:p w14:paraId="12950EF9" w14:textId="6B64228C" w:rsidR="00C87D1A" w:rsidRPr="00E9705A" w:rsidRDefault="00C87D1A" w:rsidP="0015541B">
      <w:pPr>
        <w:jc w:val="both"/>
        <w:rPr>
          <w:rFonts w:ascii="Times New Roman" w:hAnsi="Times New Roman" w:cs="Times New Roman"/>
          <w:b/>
          <w:bCs/>
          <w:color w:val="0000FF"/>
        </w:rPr>
      </w:pPr>
      <w:r w:rsidRPr="00E9705A">
        <w:rPr>
          <w:rFonts w:ascii="Times New Roman" w:hAnsi="Times New Roman" w:cs="Times New Roman"/>
          <w:b/>
          <w:bCs/>
          <w:color w:val="0000FF"/>
        </w:rPr>
        <w:t>KPI</w:t>
      </w:r>
      <w:r w:rsidR="00B4334A" w:rsidRPr="00E9705A">
        <w:rPr>
          <w:rFonts w:ascii="Times New Roman" w:hAnsi="Times New Roman" w:cs="Times New Roman"/>
          <w:b/>
          <w:bCs/>
          <w:color w:val="0000FF"/>
        </w:rPr>
        <w:t xml:space="preserve"> #2</w:t>
      </w:r>
      <w:r w:rsidRPr="00E9705A">
        <w:rPr>
          <w:rFonts w:ascii="Times New Roman" w:hAnsi="Times New Roman" w:cs="Times New Roman"/>
          <w:b/>
          <w:bCs/>
          <w:color w:val="0000FF"/>
        </w:rPr>
        <w:t xml:space="preserve">: </w:t>
      </w:r>
      <w:r w:rsidRPr="00E9705A">
        <w:rPr>
          <w:rFonts w:ascii="Times New Roman" w:hAnsi="Times New Roman" w:cs="Times New Roman"/>
          <w:b/>
          <w:bCs/>
          <w:i/>
          <w:iCs/>
          <w:color w:val="0000FF"/>
        </w:rPr>
        <w:t>% of Ministries obtaining a quarterly performance score ≥ 65%</w:t>
      </w:r>
    </w:p>
    <w:p w14:paraId="4A9DEBBD" w14:textId="52EAA2DD" w:rsidR="00C87D1A" w:rsidRPr="00E9705A" w:rsidRDefault="006132EA" w:rsidP="0015541B">
      <w:pPr>
        <w:jc w:val="both"/>
        <w:rPr>
          <w:rFonts w:ascii="Times New Roman" w:hAnsi="Times New Roman" w:cs="Times New Roman"/>
          <w:color w:val="0000FF"/>
        </w:rPr>
      </w:pPr>
      <w:bookmarkStart w:id="9" w:name="_Hlk173589181"/>
      <w:r w:rsidRPr="00E9705A">
        <w:rPr>
          <w:rFonts w:ascii="Times New Roman" w:hAnsi="Times New Roman" w:cs="Times New Roman"/>
          <w:color w:val="0000FF"/>
        </w:rPr>
        <w:t xml:space="preserve">This KPI was prioritised for trend analysis as it </w:t>
      </w:r>
      <w:r w:rsidR="007939AC" w:rsidRPr="00E9705A">
        <w:rPr>
          <w:rFonts w:ascii="Times New Roman" w:hAnsi="Times New Roman" w:cs="Times New Roman"/>
          <w:color w:val="0000FF"/>
        </w:rPr>
        <w:t xml:space="preserve">provides useful information on </w:t>
      </w:r>
      <w:r w:rsidR="00644EF9" w:rsidRPr="00E9705A">
        <w:rPr>
          <w:rFonts w:ascii="Times New Roman" w:hAnsi="Times New Roman" w:cs="Times New Roman"/>
          <w:color w:val="0000FF"/>
        </w:rPr>
        <w:t>the efficiency of Ministries</w:t>
      </w:r>
      <w:r w:rsidR="002B44C9" w:rsidRPr="00E9705A">
        <w:rPr>
          <w:rFonts w:ascii="Times New Roman" w:hAnsi="Times New Roman" w:cs="Times New Roman"/>
          <w:color w:val="0000FF"/>
        </w:rPr>
        <w:t xml:space="preserve"> </w:t>
      </w:r>
      <w:r w:rsidR="00F2771C" w:rsidRPr="00E9705A">
        <w:rPr>
          <w:rFonts w:ascii="Times New Roman" w:hAnsi="Times New Roman" w:cs="Times New Roman"/>
          <w:color w:val="0000FF"/>
        </w:rPr>
        <w:t xml:space="preserve">in delivering results </w:t>
      </w:r>
      <w:r w:rsidR="002B44C9" w:rsidRPr="00E9705A">
        <w:rPr>
          <w:rFonts w:ascii="Times New Roman" w:hAnsi="Times New Roman" w:cs="Times New Roman"/>
          <w:color w:val="0000FF"/>
        </w:rPr>
        <w:t xml:space="preserve">and whether the </w:t>
      </w:r>
      <w:r w:rsidR="003248EF" w:rsidRPr="00E9705A">
        <w:rPr>
          <w:rFonts w:ascii="Times New Roman" w:hAnsi="Times New Roman" w:cs="Times New Roman"/>
          <w:color w:val="0000FF"/>
        </w:rPr>
        <w:t>Office of the Cabinet</w:t>
      </w:r>
      <w:r w:rsidR="002B44C9" w:rsidRPr="00E9705A">
        <w:rPr>
          <w:rFonts w:ascii="Times New Roman" w:hAnsi="Times New Roman" w:cs="Times New Roman"/>
          <w:color w:val="0000FF"/>
        </w:rPr>
        <w:t xml:space="preserve"> is tending towards its short </w:t>
      </w:r>
      <w:r w:rsidR="00091831" w:rsidRPr="00E9705A">
        <w:rPr>
          <w:rFonts w:ascii="Times New Roman" w:hAnsi="Times New Roman" w:cs="Times New Roman"/>
          <w:color w:val="0000FF"/>
        </w:rPr>
        <w:t xml:space="preserve">and medium-term </w:t>
      </w:r>
      <w:r w:rsidR="000A12D1" w:rsidRPr="00E9705A">
        <w:rPr>
          <w:rFonts w:ascii="Times New Roman" w:hAnsi="Times New Roman" w:cs="Times New Roman"/>
          <w:color w:val="0000FF"/>
        </w:rPr>
        <w:t>objective</w:t>
      </w:r>
      <w:r w:rsidR="00091831" w:rsidRPr="00E9705A">
        <w:rPr>
          <w:rFonts w:ascii="Times New Roman" w:hAnsi="Times New Roman" w:cs="Times New Roman"/>
          <w:color w:val="0000FF"/>
        </w:rPr>
        <w:t>s</w:t>
      </w:r>
      <w:r w:rsidR="000A12D1" w:rsidRPr="00E9705A">
        <w:rPr>
          <w:rFonts w:ascii="Times New Roman" w:hAnsi="Times New Roman" w:cs="Times New Roman"/>
          <w:color w:val="0000FF"/>
        </w:rPr>
        <w:t xml:space="preserve"> of </w:t>
      </w:r>
      <w:r w:rsidR="000A12D1" w:rsidRPr="00E9705A">
        <w:rPr>
          <w:rFonts w:ascii="Times New Roman" w:hAnsi="Times New Roman" w:cs="Times New Roman"/>
          <w:i/>
          <w:iCs/>
          <w:color w:val="0000FF"/>
        </w:rPr>
        <w:t>55%</w:t>
      </w:r>
      <w:r w:rsidR="00091831" w:rsidRPr="00E9705A">
        <w:rPr>
          <w:rFonts w:ascii="Times New Roman" w:hAnsi="Times New Roman" w:cs="Times New Roman"/>
          <w:i/>
          <w:iCs/>
          <w:color w:val="0000FF"/>
        </w:rPr>
        <w:t xml:space="preserve"> and 75%</w:t>
      </w:r>
      <w:r w:rsidR="000A12D1" w:rsidRPr="00E9705A">
        <w:rPr>
          <w:rFonts w:ascii="Times New Roman" w:hAnsi="Times New Roman" w:cs="Times New Roman"/>
          <w:i/>
          <w:iCs/>
          <w:color w:val="0000FF"/>
        </w:rPr>
        <w:t xml:space="preserve"> of Ministries obtaining </w:t>
      </w:r>
      <w:r w:rsidR="00937AB3" w:rsidRPr="00E9705A">
        <w:rPr>
          <w:rFonts w:ascii="Times New Roman" w:hAnsi="Times New Roman" w:cs="Times New Roman"/>
          <w:i/>
          <w:iCs/>
          <w:color w:val="0000FF"/>
        </w:rPr>
        <w:t xml:space="preserve">a </w:t>
      </w:r>
      <w:r w:rsidR="00F2771C" w:rsidRPr="00E9705A">
        <w:rPr>
          <w:rFonts w:ascii="Times New Roman" w:hAnsi="Times New Roman" w:cs="Times New Roman"/>
          <w:i/>
          <w:iCs/>
          <w:color w:val="0000FF"/>
        </w:rPr>
        <w:t>quarterly performance</w:t>
      </w:r>
      <w:r w:rsidR="000A12D1" w:rsidRPr="00E9705A">
        <w:rPr>
          <w:rFonts w:ascii="Times New Roman" w:hAnsi="Times New Roman" w:cs="Times New Roman"/>
          <w:i/>
          <w:iCs/>
          <w:color w:val="0000FF"/>
        </w:rPr>
        <w:t xml:space="preserve"> score of </w:t>
      </w:r>
      <w:r w:rsidR="00581238" w:rsidRPr="00E9705A">
        <w:rPr>
          <w:rFonts w:ascii="Times New Roman" w:hAnsi="Times New Roman" w:cs="Times New Roman"/>
          <w:b/>
          <w:bCs/>
          <w:i/>
          <w:iCs/>
          <w:color w:val="0000FF"/>
        </w:rPr>
        <w:t>≥</w:t>
      </w:r>
      <w:r w:rsidR="00581238">
        <w:rPr>
          <w:rFonts w:ascii="Times New Roman" w:hAnsi="Times New Roman" w:cs="Times New Roman"/>
          <w:b/>
          <w:bCs/>
          <w:i/>
          <w:iCs/>
          <w:color w:val="0000FF"/>
        </w:rPr>
        <w:t xml:space="preserve"> </w:t>
      </w:r>
      <w:r w:rsidR="000A12D1" w:rsidRPr="00E9705A">
        <w:rPr>
          <w:rFonts w:ascii="Times New Roman" w:hAnsi="Times New Roman" w:cs="Times New Roman"/>
          <w:i/>
          <w:iCs/>
          <w:color w:val="0000FF"/>
        </w:rPr>
        <w:t>65%</w:t>
      </w:r>
      <w:r w:rsidR="00091831" w:rsidRPr="00E9705A">
        <w:rPr>
          <w:rFonts w:ascii="Times New Roman" w:hAnsi="Times New Roman" w:cs="Times New Roman"/>
          <w:i/>
          <w:iCs/>
          <w:color w:val="0000FF"/>
        </w:rPr>
        <w:t>, respectively.</w:t>
      </w:r>
      <w:r w:rsidR="00F628F8" w:rsidRPr="00E9705A">
        <w:rPr>
          <w:rFonts w:ascii="Times New Roman" w:hAnsi="Times New Roman" w:cs="Times New Roman"/>
          <w:color w:val="0000FF"/>
        </w:rPr>
        <w:t xml:space="preserve"> </w:t>
      </w:r>
      <w:r w:rsidR="0089129B" w:rsidRPr="00E9705A">
        <w:rPr>
          <w:rFonts w:ascii="Times New Roman" w:hAnsi="Times New Roman" w:cs="Times New Roman"/>
          <w:color w:val="0000FF"/>
        </w:rPr>
        <w:t>As depicted on</w:t>
      </w:r>
      <w:r w:rsidR="00DD5913" w:rsidRPr="00E9705A">
        <w:rPr>
          <w:rFonts w:ascii="Times New Roman" w:hAnsi="Times New Roman" w:cs="Times New Roman"/>
          <w:color w:val="0000FF"/>
        </w:rPr>
        <w:t xml:space="preserve"> the</w:t>
      </w:r>
      <w:r w:rsidR="00F628F8" w:rsidRPr="00E9705A">
        <w:rPr>
          <w:rFonts w:ascii="Times New Roman" w:hAnsi="Times New Roman" w:cs="Times New Roman"/>
          <w:color w:val="0000FF"/>
        </w:rPr>
        <w:t xml:space="preserve"> </w:t>
      </w:r>
      <w:r w:rsidR="00F365B5" w:rsidRPr="00E9705A">
        <w:rPr>
          <w:rFonts w:ascii="Times New Roman" w:hAnsi="Times New Roman" w:cs="Times New Roman"/>
          <w:color w:val="0000FF"/>
        </w:rPr>
        <w:t>trend graph</w:t>
      </w:r>
      <w:r w:rsidR="00F628F8" w:rsidRPr="00E9705A">
        <w:rPr>
          <w:rFonts w:ascii="Times New Roman" w:hAnsi="Times New Roman" w:cs="Times New Roman"/>
          <w:color w:val="0000FF"/>
        </w:rPr>
        <w:t xml:space="preserve">, </w:t>
      </w:r>
      <w:r w:rsidR="007E46D0" w:rsidRPr="00E9705A">
        <w:rPr>
          <w:rFonts w:ascii="Times New Roman" w:hAnsi="Times New Roman" w:cs="Times New Roman"/>
          <w:color w:val="0000FF"/>
        </w:rPr>
        <w:t xml:space="preserve">the </w:t>
      </w:r>
      <w:r w:rsidR="003248EF" w:rsidRPr="00E9705A">
        <w:rPr>
          <w:rFonts w:ascii="Times New Roman" w:hAnsi="Times New Roman" w:cs="Times New Roman"/>
          <w:color w:val="0000FF"/>
        </w:rPr>
        <w:t>Office of the Cabinet</w:t>
      </w:r>
      <w:r w:rsidR="007E46D0" w:rsidRPr="00E9705A">
        <w:rPr>
          <w:rFonts w:ascii="Times New Roman" w:hAnsi="Times New Roman" w:cs="Times New Roman"/>
          <w:color w:val="0000FF"/>
        </w:rPr>
        <w:t xml:space="preserve"> has </w:t>
      </w:r>
      <w:r w:rsidR="00D02EF2" w:rsidRPr="00E9705A">
        <w:rPr>
          <w:rFonts w:ascii="Times New Roman" w:hAnsi="Times New Roman" w:cs="Times New Roman"/>
          <w:color w:val="0000FF"/>
        </w:rPr>
        <w:t>exceeded</w:t>
      </w:r>
      <w:r w:rsidR="000E3BB9" w:rsidRPr="00E9705A">
        <w:rPr>
          <w:rFonts w:ascii="Times New Roman" w:hAnsi="Times New Roman" w:cs="Times New Roman"/>
          <w:color w:val="0000FF"/>
        </w:rPr>
        <w:t xml:space="preserve"> its short-term target of 55% </w:t>
      </w:r>
      <w:r w:rsidR="00B856FB" w:rsidRPr="00E9705A">
        <w:rPr>
          <w:rFonts w:ascii="Times New Roman" w:hAnsi="Times New Roman" w:cs="Times New Roman"/>
          <w:color w:val="0000FF"/>
        </w:rPr>
        <w:t xml:space="preserve">of Ministries </w:t>
      </w:r>
      <w:r w:rsidR="009F4437" w:rsidRPr="00E9705A">
        <w:rPr>
          <w:rFonts w:ascii="Times New Roman" w:hAnsi="Times New Roman" w:cs="Times New Roman"/>
          <w:color w:val="0000FF"/>
        </w:rPr>
        <w:t>obtaining a quarterly performance score ≥</w:t>
      </w:r>
      <w:r w:rsidR="009C4B58">
        <w:rPr>
          <w:rFonts w:ascii="Times New Roman" w:hAnsi="Times New Roman" w:cs="Times New Roman"/>
          <w:color w:val="0000FF"/>
        </w:rPr>
        <w:t xml:space="preserve"> </w:t>
      </w:r>
      <w:r w:rsidR="009F4437" w:rsidRPr="00E9705A">
        <w:rPr>
          <w:rFonts w:ascii="Times New Roman" w:hAnsi="Times New Roman" w:cs="Times New Roman"/>
          <w:color w:val="0000FF"/>
        </w:rPr>
        <w:t xml:space="preserve">65% </w:t>
      </w:r>
      <w:r w:rsidR="000E3BB9" w:rsidRPr="00E9705A">
        <w:rPr>
          <w:rFonts w:ascii="Times New Roman" w:hAnsi="Times New Roman" w:cs="Times New Roman"/>
          <w:color w:val="0000FF"/>
        </w:rPr>
        <w:t>in all periods</w:t>
      </w:r>
      <w:r w:rsidR="00A61039" w:rsidRPr="00E9705A">
        <w:rPr>
          <w:rFonts w:ascii="Times New Roman" w:hAnsi="Times New Roman" w:cs="Times New Roman"/>
          <w:color w:val="0000FF"/>
        </w:rPr>
        <w:t>,</w:t>
      </w:r>
      <w:r w:rsidR="000E3BB9" w:rsidRPr="00E9705A">
        <w:rPr>
          <w:rFonts w:ascii="Times New Roman" w:hAnsi="Times New Roman" w:cs="Times New Roman"/>
          <w:color w:val="0000FF"/>
        </w:rPr>
        <w:t xml:space="preserve"> except for 2023/24 Q</w:t>
      </w:r>
      <w:r w:rsidR="00C20D91" w:rsidRPr="00E9705A">
        <w:rPr>
          <w:rFonts w:ascii="Times New Roman" w:hAnsi="Times New Roman" w:cs="Times New Roman"/>
          <w:color w:val="0000FF"/>
        </w:rPr>
        <w:t>3</w:t>
      </w:r>
      <w:r w:rsidR="00221129" w:rsidRPr="00E9705A">
        <w:rPr>
          <w:rFonts w:ascii="Times New Roman" w:hAnsi="Times New Roman" w:cs="Times New Roman"/>
          <w:color w:val="0000FF"/>
        </w:rPr>
        <w:t xml:space="preserve">. </w:t>
      </w:r>
      <w:r w:rsidR="002B0571" w:rsidRPr="00E9705A">
        <w:rPr>
          <w:rFonts w:ascii="Times New Roman" w:hAnsi="Times New Roman" w:cs="Times New Roman"/>
          <w:color w:val="0000FF"/>
        </w:rPr>
        <w:t>Interestingly, this has been a consistent</w:t>
      </w:r>
      <w:r w:rsidR="00C20D91" w:rsidRPr="00E9705A">
        <w:rPr>
          <w:rFonts w:ascii="Times New Roman" w:hAnsi="Times New Roman" w:cs="Times New Roman"/>
          <w:color w:val="0000FF"/>
        </w:rPr>
        <w:t xml:space="preserve"> annual</w:t>
      </w:r>
      <w:r w:rsidR="002B0571" w:rsidRPr="00E9705A">
        <w:rPr>
          <w:rFonts w:ascii="Times New Roman" w:hAnsi="Times New Roman" w:cs="Times New Roman"/>
          <w:color w:val="0000FF"/>
        </w:rPr>
        <w:t xml:space="preserve"> trend whereby th</w:t>
      </w:r>
      <w:r w:rsidR="00014AF7" w:rsidRPr="00E9705A">
        <w:rPr>
          <w:rFonts w:ascii="Times New Roman" w:hAnsi="Times New Roman" w:cs="Times New Roman"/>
          <w:color w:val="0000FF"/>
        </w:rPr>
        <w:t xml:space="preserve">e short-term target is met in all periods </w:t>
      </w:r>
      <w:r w:rsidR="00AC2D9E" w:rsidRPr="00E9705A">
        <w:rPr>
          <w:rFonts w:ascii="Times New Roman" w:hAnsi="Times New Roman" w:cs="Times New Roman"/>
          <w:color w:val="0000FF"/>
        </w:rPr>
        <w:t>save</w:t>
      </w:r>
      <w:r w:rsidR="00221129" w:rsidRPr="00E9705A">
        <w:rPr>
          <w:rFonts w:ascii="Times New Roman" w:hAnsi="Times New Roman" w:cs="Times New Roman"/>
          <w:color w:val="0000FF"/>
        </w:rPr>
        <w:t xml:space="preserve"> for</w:t>
      </w:r>
      <w:r w:rsidR="00014AF7" w:rsidRPr="00E9705A">
        <w:rPr>
          <w:rFonts w:ascii="Times New Roman" w:hAnsi="Times New Roman" w:cs="Times New Roman"/>
          <w:color w:val="0000FF"/>
        </w:rPr>
        <w:t xml:space="preserve"> Q3. </w:t>
      </w:r>
      <w:r w:rsidR="00180230" w:rsidRPr="00E9705A">
        <w:rPr>
          <w:rFonts w:ascii="Times New Roman" w:hAnsi="Times New Roman" w:cs="Times New Roman"/>
          <w:color w:val="0000FF"/>
        </w:rPr>
        <w:t xml:space="preserve">Based on adjacent data, it was noted that </w:t>
      </w:r>
      <w:r w:rsidR="009B63EE" w:rsidRPr="00E9705A">
        <w:rPr>
          <w:rFonts w:ascii="Times New Roman" w:hAnsi="Times New Roman" w:cs="Times New Roman"/>
          <w:color w:val="0000FF"/>
        </w:rPr>
        <w:t xml:space="preserve">most Ministries are down to less than or equal to 50% of their staff complement during the </w:t>
      </w:r>
      <w:r w:rsidR="005A0D5D" w:rsidRPr="00E9705A">
        <w:rPr>
          <w:rFonts w:ascii="Times New Roman" w:hAnsi="Times New Roman" w:cs="Times New Roman"/>
          <w:color w:val="0000FF"/>
        </w:rPr>
        <w:t>yuletide</w:t>
      </w:r>
      <w:r w:rsidR="009B63EE" w:rsidRPr="00E9705A">
        <w:rPr>
          <w:rFonts w:ascii="Times New Roman" w:hAnsi="Times New Roman" w:cs="Times New Roman"/>
          <w:color w:val="0000FF"/>
        </w:rPr>
        <w:t xml:space="preserve"> season when many officers go off on leave</w:t>
      </w:r>
      <w:r w:rsidR="005A0D5D" w:rsidRPr="00E9705A">
        <w:rPr>
          <w:rFonts w:ascii="Times New Roman" w:hAnsi="Times New Roman" w:cs="Times New Roman"/>
          <w:color w:val="0000FF"/>
        </w:rPr>
        <w:t xml:space="preserve"> </w:t>
      </w:r>
      <w:r w:rsidR="00B55929" w:rsidRPr="00E9705A">
        <w:rPr>
          <w:rFonts w:ascii="Times New Roman" w:hAnsi="Times New Roman" w:cs="Times New Roman"/>
          <w:color w:val="0000FF"/>
        </w:rPr>
        <w:t>for an average of 21 days</w:t>
      </w:r>
      <w:r w:rsidR="00C47318">
        <w:rPr>
          <w:rFonts w:ascii="Times New Roman" w:hAnsi="Times New Roman" w:cs="Times New Roman"/>
          <w:color w:val="0000FF"/>
        </w:rPr>
        <w:t xml:space="preserve"> –</w:t>
      </w:r>
      <w:r w:rsidR="0089129B" w:rsidRPr="00E9705A">
        <w:rPr>
          <w:rFonts w:ascii="Times New Roman" w:hAnsi="Times New Roman" w:cs="Times New Roman"/>
          <w:color w:val="0000FF"/>
        </w:rPr>
        <w:t xml:space="preserve"> almost a quarter of </w:t>
      </w:r>
      <w:r w:rsidR="009F4437" w:rsidRPr="00E9705A">
        <w:rPr>
          <w:rFonts w:ascii="Times New Roman" w:hAnsi="Times New Roman" w:cs="Times New Roman"/>
          <w:color w:val="0000FF"/>
        </w:rPr>
        <w:t>Quarter 3</w:t>
      </w:r>
      <w:r w:rsidR="005A0D5D" w:rsidRPr="00E9705A">
        <w:rPr>
          <w:rFonts w:ascii="Times New Roman" w:hAnsi="Times New Roman" w:cs="Times New Roman"/>
          <w:color w:val="0000FF"/>
        </w:rPr>
        <w:t xml:space="preserve">. </w:t>
      </w:r>
      <w:r w:rsidR="00757E8D" w:rsidRPr="00E9705A">
        <w:rPr>
          <w:rFonts w:ascii="Times New Roman" w:hAnsi="Times New Roman" w:cs="Times New Roman"/>
          <w:color w:val="0000FF"/>
        </w:rPr>
        <w:t>While this</w:t>
      </w:r>
      <w:r w:rsidR="00306A92" w:rsidRPr="00E9705A">
        <w:rPr>
          <w:rFonts w:ascii="Times New Roman" w:hAnsi="Times New Roman" w:cs="Times New Roman"/>
          <w:color w:val="0000FF"/>
        </w:rPr>
        <w:t xml:space="preserve"> KPI</w:t>
      </w:r>
      <w:r w:rsidR="00757E8D" w:rsidRPr="00E9705A">
        <w:rPr>
          <w:rFonts w:ascii="Times New Roman" w:hAnsi="Times New Roman" w:cs="Times New Roman"/>
          <w:color w:val="0000FF"/>
        </w:rPr>
        <w:t xml:space="preserve"> trend </w:t>
      </w:r>
      <w:r w:rsidR="00306A92" w:rsidRPr="00E9705A">
        <w:rPr>
          <w:rFonts w:ascii="Times New Roman" w:hAnsi="Times New Roman" w:cs="Times New Roman"/>
          <w:color w:val="0000FF"/>
        </w:rPr>
        <w:t>is</w:t>
      </w:r>
      <w:r w:rsidR="00757E8D" w:rsidRPr="00E9705A">
        <w:rPr>
          <w:rFonts w:ascii="Times New Roman" w:hAnsi="Times New Roman" w:cs="Times New Roman"/>
          <w:color w:val="0000FF"/>
        </w:rPr>
        <w:t xml:space="preserve"> undesirable, it was expected. </w:t>
      </w:r>
      <w:r w:rsidR="00B54538" w:rsidRPr="00E9705A">
        <w:rPr>
          <w:rFonts w:ascii="Times New Roman" w:hAnsi="Times New Roman" w:cs="Times New Roman"/>
          <w:color w:val="0000FF"/>
        </w:rPr>
        <w:t>Nonetheless, i</w:t>
      </w:r>
      <w:r w:rsidR="0008318A" w:rsidRPr="00E9705A">
        <w:rPr>
          <w:rFonts w:ascii="Times New Roman" w:hAnsi="Times New Roman" w:cs="Times New Roman"/>
          <w:color w:val="0000FF"/>
        </w:rPr>
        <w:t xml:space="preserve">f not remedied, </w:t>
      </w:r>
      <w:r w:rsidR="00B54538" w:rsidRPr="00E9705A">
        <w:rPr>
          <w:rFonts w:ascii="Times New Roman" w:hAnsi="Times New Roman" w:cs="Times New Roman"/>
          <w:color w:val="0000FF"/>
        </w:rPr>
        <w:t>it</w:t>
      </w:r>
      <w:r w:rsidR="00652DF2" w:rsidRPr="00E9705A">
        <w:rPr>
          <w:rFonts w:ascii="Times New Roman" w:hAnsi="Times New Roman" w:cs="Times New Roman"/>
          <w:color w:val="0000FF"/>
        </w:rPr>
        <w:t xml:space="preserve"> has the potential </w:t>
      </w:r>
      <w:r w:rsidR="0008789D" w:rsidRPr="00E9705A">
        <w:rPr>
          <w:rFonts w:ascii="Times New Roman" w:hAnsi="Times New Roman" w:cs="Times New Roman"/>
          <w:color w:val="0000FF"/>
        </w:rPr>
        <w:t>to limit efficiency in the public service</w:t>
      </w:r>
      <w:r w:rsidR="00782267">
        <w:rPr>
          <w:rFonts w:ascii="Times New Roman" w:hAnsi="Times New Roman" w:cs="Times New Roman"/>
          <w:color w:val="0000FF"/>
        </w:rPr>
        <w:t xml:space="preserve"> during Quarter 3</w:t>
      </w:r>
      <w:r w:rsidR="0008789D" w:rsidRPr="00E9705A">
        <w:rPr>
          <w:rFonts w:ascii="Times New Roman" w:hAnsi="Times New Roman" w:cs="Times New Roman"/>
          <w:color w:val="0000FF"/>
        </w:rPr>
        <w:t xml:space="preserve"> </w:t>
      </w:r>
      <w:r w:rsidR="005059CB" w:rsidRPr="00E9705A">
        <w:rPr>
          <w:rFonts w:ascii="Times New Roman" w:hAnsi="Times New Roman" w:cs="Times New Roman"/>
          <w:color w:val="0000FF"/>
        </w:rPr>
        <w:t xml:space="preserve">and </w:t>
      </w:r>
      <w:r w:rsidR="00DF4FD5" w:rsidRPr="00E9705A">
        <w:rPr>
          <w:rFonts w:ascii="Times New Roman" w:hAnsi="Times New Roman" w:cs="Times New Roman"/>
          <w:color w:val="0000FF"/>
        </w:rPr>
        <w:t xml:space="preserve">stymie the </w:t>
      </w:r>
      <w:r w:rsidR="003248EF" w:rsidRPr="00E9705A">
        <w:rPr>
          <w:rFonts w:ascii="Times New Roman" w:hAnsi="Times New Roman" w:cs="Times New Roman"/>
          <w:color w:val="0000FF"/>
        </w:rPr>
        <w:t>Office of the Cabinet</w:t>
      </w:r>
      <w:r w:rsidR="00DF4FD5" w:rsidRPr="00E9705A">
        <w:rPr>
          <w:rFonts w:ascii="Times New Roman" w:hAnsi="Times New Roman" w:cs="Times New Roman"/>
          <w:color w:val="0000FF"/>
        </w:rPr>
        <w:t xml:space="preserve">’s achievement of its medium-term strategic objective. </w:t>
      </w:r>
      <w:r w:rsidR="00497152" w:rsidRPr="00E9705A">
        <w:rPr>
          <w:rFonts w:ascii="Times New Roman" w:hAnsi="Times New Roman" w:cs="Times New Roman"/>
          <w:color w:val="0000FF"/>
        </w:rPr>
        <w:t>As such</w:t>
      </w:r>
      <w:r w:rsidR="005A0D5D" w:rsidRPr="00E9705A">
        <w:rPr>
          <w:rFonts w:ascii="Times New Roman" w:hAnsi="Times New Roman" w:cs="Times New Roman"/>
          <w:color w:val="0000FF"/>
        </w:rPr>
        <w:t xml:space="preserve">, a </w:t>
      </w:r>
      <w:r w:rsidR="0082251D" w:rsidRPr="00E9705A">
        <w:rPr>
          <w:rFonts w:ascii="Times New Roman" w:hAnsi="Times New Roman" w:cs="Times New Roman"/>
          <w:color w:val="0000FF"/>
        </w:rPr>
        <w:t>deep</w:t>
      </w:r>
      <w:r w:rsidR="005A0D5D" w:rsidRPr="00E9705A">
        <w:rPr>
          <w:rFonts w:ascii="Times New Roman" w:hAnsi="Times New Roman" w:cs="Times New Roman"/>
          <w:color w:val="0000FF"/>
        </w:rPr>
        <w:t xml:space="preserve">er assessment is being conducted to identify </w:t>
      </w:r>
      <w:r w:rsidR="00AA0760" w:rsidRPr="00E9705A">
        <w:rPr>
          <w:rFonts w:ascii="Times New Roman" w:hAnsi="Times New Roman" w:cs="Times New Roman"/>
          <w:color w:val="0000FF"/>
        </w:rPr>
        <w:t>the</w:t>
      </w:r>
      <w:r w:rsidR="005A0D5D" w:rsidRPr="00E9705A">
        <w:rPr>
          <w:rFonts w:ascii="Times New Roman" w:hAnsi="Times New Roman" w:cs="Times New Roman"/>
          <w:color w:val="0000FF"/>
        </w:rPr>
        <w:t xml:space="preserve"> correlation between </w:t>
      </w:r>
      <w:r w:rsidR="00BB216B" w:rsidRPr="00E9705A">
        <w:rPr>
          <w:rFonts w:ascii="Times New Roman" w:hAnsi="Times New Roman" w:cs="Times New Roman"/>
          <w:color w:val="0000FF"/>
        </w:rPr>
        <w:t>low staff complement</w:t>
      </w:r>
      <w:r w:rsidR="00AA0760" w:rsidRPr="00E9705A">
        <w:rPr>
          <w:rFonts w:ascii="Times New Roman" w:hAnsi="Times New Roman" w:cs="Times New Roman"/>
          <w:color w:val="0000FF"/>
        </w:rPr>
        <w:t xml:space="preserve"> in December</w:t>
      </w:r>
      <w:r w:rsidR="00BB216B" w:rsidRPr="00E9705A">
        <w:rPr>
          <w:rFonts w:ascii="Times New Roman" w:hAnsi="Times New Roman" w:cs="Times New Roman"/>
          <w:color w:val="0000FF"/>
        </w:rPr>
        <w:t xml:space="preserve"> and low Ministerial performance</w:t>
      </w:r>
      <w:r w:rsidR="00AA0760" w:rsidRPr="00E9705A">
        <w:rPr>
          <w:rFonts w:ascii="Times New Roman" w:hAnsi="Times New Roman" w:cs="Times New Roman"/>
          <w:color w:val="0000FF"/>
        </w:rPr>
        <w:t xml:space="preserve"> in Q3</w:t>
      </w:r>
      <w:r w:rsidR="00F34092" w:rsidRPr="00E9705A">
        <w:rPr>
          <w:rFonts w:ascii="Times New Roman" w:hAnsi="Times New Roman" w:cs="Times New Roman"/>
          <w:color w:val="0000FF"/>
        </w:rPr>
        <w:t xml:space="preserve"> (Response Strategy 1)</w:t>
      </w:r>
      <w:r w:rsidR="005A0D5D" w:rsidRPr="00E9705A">
        <w:rPr>
          <w:rFonts w:ascii="Times New Roman" w:hAnsi="Times New Roman" w:cs="Times New Roman"/>
          <w:color w:val="0000FF"/>
        </w:rPr>
        <w:t xml:space="preserve">. The </w:t>
      </w:r>
      <w:r w:rsidR="0089129B" w:rsidRPr="00E9705A">
        <w:rPr>
          <w:rFonts w:ascii="Times New Roman" w:hAnsi="Times New Roman" w:cs="Times New Roman"/>
          <w:color w:val="0000FF"/>
        </w:rPr>
        <w:t>finding</w:t>
      </w:r>
      <w:r w:rsidR="005A0D5D" w:rsidRPr="00E9705A">
        <w:rPr>
          <w:rFonts w:ascii="Times New Roman" w:hAnsi="Times New Roman" w:cs="Times New Roman"/>
          <w:color w:val="0000FF"/>
        </w:rPr>
        <w:t>s</w:t>
      </w:r>
      <w:r w:rsidR="0089129B" w:rsidRPr="00E9705A">
        <w:rPr>
          <w:rFonts w:ascii="Times New Roman" w:hAnsi="Times New Roman" w:cs="Times New Roman"/>
          <w:color w:val="0000FF"/>
        </w:rPr>
        <w:t xml:space="preserve"> and recommendations</w:t>
      </w:r>
      <w:r w:rsidR="005A0D5D" w:rsidRPr="00E9705A">
        <w:rPr>
          <w:rFonts w:ascii="Times New Roman" w:hAnsi="Times New Roman" w:cs="Times New Roman"/>
          <w:color w:val="0000FF"/>
        </w:rPr>
        <w:t xml:space="preserve"> of this </w:t>
      </w:r>
      <w:r w:rsidR="003F2F0B" w:rsidRPr="00E9705A">
        <w:rPr>
          <w:rFonts w:ascii="Times New Roman" w:hAnsi="Times New Roman" w:cs="Times New Roman"/>
          <w:color w:val="0000FF"/>
        </w:rPr>
        <w:t>evaluation</w:t>
      </w:r>
      <w:r w:rsidR="005A0D5D" w:rsidRPr="00E9705A">
        <w:rPr>
          <w:rFonts w:ascii="Times New Roman" w:hAnsi="Times New Roman" w:cs="Times New Roman"/>
          <w:color w:val="0000FF"/>
        </w:rPr>
        <w:t xml:space="preserve"> will be p</w:t>
      </w:r>
      <w:r w:rsidR="00E5796A" w:rsidRPr="00E9705A">
        <w:rPr>
          <w:rFonts w:ascii="Times New Roman" w:hAnsi="Times New Roman" w:cs="Times New Roman"/>
          <w:color w:val="0000FF"/>
        </w:rPr>
        <w:t>resent</w:t>
      </w:r>
      <w:r w:rsidR="005A0D5D" w:rsidRPr="00E9705A">
        <w:rPr>
          <w:rFonts w:ascii="Times New Roman" w:hAnsi="Times New Roman" w:cs="Times New Roman"/>
          <w:color w:val="0000FF"/>
        </w:rPr>
        <w:t>ed in the 2024/25 Q3</w:t>
      </w:r>
      <w:r w:rsidR="007106F8" w:rsidRPr="00E9705A">
        <w:rPr>
          <w:rFonts w:ascii="Times New Roman" w:hAnsi="Times New Roman" w:cs="Times New Roman"/>
          <w:color w:val="0000FF"/>
        </w:rPr>
        <w:t xml:space="preserve"> report.</w:t>
      </w:r>
    </w:p>
    <w:p w14:paraId="1BCB09D9" w14:textId="77777777" w:rsidR="00463AF3" w:rsidRDefault="007106F8" w:rsidP="00244089">
      <w:pPr>
        <w:jc w:val="both"/>
        <w:rPr>
          <w:rFonts w:ascii="Times New Roman" w:hAnsi="Times New Roman" w:cs="Times New Roman"/>
          <w:color w:val="0000FF"/>
        </w:rPr>
      </w:pPr>
      <w:r w:rsidRPr="00E9705A">
        <w:rPr>
          <w:rFonts w:ascii="Times New Roman" w:hAnsi="Times New Roman" w:cs="Times New Roman"/>
          <w:color w:val="0000FF"/>
        </w:rPr>
        <w:t xml:space="preserve">Despite annual Q3 dips, the </w:t>
      </w:r>
      <w:r w:rsidR="0089129B" w:rsidRPr="00E9705A">
        <w:rPr>
          <w:rFonts w:ascii="Times New Roman" w:hAnsi="Times New Roman" w:cs="Times New Roman"/>
          <w:color w:val="0000FF"/>
        </w:rPr>
        <w:t>KPI</w:t>
      </w:r>
      <w:r w:rsidRPr="00E9705A">
        <w:rPr>
          <w:rFonts w:ascii="Times New Roman" w:hAnsi="Times New Roman" w:cs="Times New Roman"/>
          <w:color w:val="0000FF"/>
        </w:rPr>
        <w:t xml:space="preserve"> has otherwise been on a steady</w:t>
      </w:r>
      <w:r w:rsidR="008116D1" w:rsidRPr="00E9705A">
        <w:rPr>
          <w:rFonts w:ascii="Times New Roman" w:hAnsi="Times New Roman" w:cs="Times New Roman"/>
          <w:color w:val="0000FF"/>
        </w:rPr>
        <w:t xml:space="preserve"> trajectory</w:t>
      </w:r>
      <w:r w:rsidRPr="00E9705A">
        <w:rPr>
          <w:rFonts w:ascii="Times New Roman" w:hAnsi="Times New Roman" w:cs="Times New Roman"/>
          <w:color w:val="0000FF"/>
        </w:rPr>
        <w:t xml:space="preserve"> towards meeting its medium-term </w:t>
      </w:r>
      <w:r w:rsidR="00650165">
        <w:rPr>
          <w:rFonts w:ascii="Times New Roman" w:hAnsi="Times New Roman" w:cs="Times New Roman"/>
          <w:color w:val="0000FF"/>
        </w:rPr>
        <w:t>target</w:t>
      </w:r>
      <w:r w:rsidRPr="00E9705A">
        <w:rPr>
          <w:rFonts w:ascii="Times New Roman" w:hAnsi="Times New Roman" w:cs="Times New Roman"/>
          <w:color w:val="0000FF"/>
        </w:rPr>
        <w:t xml:space="preserve"> of </w:t>
      </w:r>
      <w:r w:rsidRPr="00E9705A">
        <w:rPr>
          <w:rFonts w:ascii="Times New Roman" w:hAnsi="Times New Roman" w:cs="Times New Roman"/>
          <w:i/>
          <w:iCs/>
          <w:color w:val="0000FF"/>
        </w:rPr>
        <w:t>7</w:t>
      </w:r>
      <w:r w:rsidR="00D63839" w:rsidRPr="00E9705A">
        <w:rPr>
          <w:rFonts w:ascii="Times New Roman" w:hAnsi="Times New Roman" w:cs="Times New Roman"/>
          <w:i/>
          <w:iCs/>
          <w:color w:val="0000FF"/>
        </w:rPr>
        <w:t>5</w:t>
      </w:r>
      <w:r w:rsidRPr="00E9705A">
        <w:rPr>
          <w:rFonts w:ascii="Times New Roman" w:hAnsi="Times New Roman" w:cs="Times New Roman"/>
          <w:i/>
          <w:iCs/>
          <w:color w:val="0000FF"/>
        </w:rPr>
        <w:t>%</w:t>
      </w:r>
      <w:r w:rsidR="00906F0B" w:rsidRPr="00E9705A">
        <w:rPr>
          <w:rFonts w:ascii="Times New Roman" w:hAnsi="Times New Roman" w:cs="Times New Roman"/>
          <w:i/>
          <w:iCs/>
          <w:color w:val="0000FF"/>
        </w:rPr>
        <w:t xml:space="preserve"> of Ministries</w:t>
      </w:r>
      <w:r w:rsidR="00D555BA" w:rsidRPr="00E9705A">
        <w:rPr>
          <w:rFonts w:ascii="Times New Roman" w:hAnsi="Times New Roman" w:cs="Times New Roman"/>
          <w:i/>
          <w:iCs/>
          <w:color w:val="0000FF"/>
        </w:rPr>
        <w:t xml:space="preserve"> obtaining a quarterly performance score of 65%</w:t>
      </w:r>
      <w:r w:rsidRPr="00E9705A">
        <w:rPr>
          <w:rFonts w:ascii="Times New Roman" w:hAnsi="Times New Roman" w:cs="Times New Roman"/>
          <w:color w:val="0000FF"/>
        </w:rPr>
        <w:t xml:space="preserve">. </w:t>
      </w:r>
      <w:r w:rsidR="00B34268" w:rsidRPr="00E9705A">
        <w:rPr>
          <w:rFonts w:ascii="Times New Roman" w:hAnsi="Times New Roman" w:cs="Times New Roman"/>
          <w:color w:val="0000FF"/>
        </w:rPr>
        <w:t xml:space="preserve">Towards </w:t>
      </w:r>
      <w:r w:rsidR="00F66A5F" w:rsidRPr="00E9705A">
        <w:rPr>
          <w:rFonts w:ascii="Times New Roman" w:hAnsi="Times New Roman" w:cs="Times New Roman"/>
          <w:color w:val="0000FF"/>
        </w:rPr>
        <w:t xml:space="preserve">meeting this </w:t>
      </w:r>
      <w:r w:rsidR="003126E4">
        <w:rPr>
          <w:rFonts w:ascii="Times New Roman" w:hAnsi="Times New Roman" w:cs="Times New Roman"/>
          <w:color w:val="0000FF"/>
        </w:rPr>
        <w:lastRenderedPageBreak/>
        <w:t>target</w:t>
      </w:r>
      <w:r w:rsidR="006C58ED" w:rsidRPr="00E9705A">
        <w:rPr>
          <w:rFonts w:ascii="Times New Roman" w:hAnsi="Times New Roman" w:cs="Times New Roman"/>
          <w:color w:val="0000FF"/>
        </w:rPr>
        <w:t xml:space="preserve"> </w:t>
      </w:r>
      <w:r w:rsidR="00CA2379" w:rsidRPr="00E9705A">
        <w:rPr>
          <w:rFonts w:ascii="Times New Roman" w:hAnsi="Times New Roman" w:cs="Times New Roman"/>
          <w:color w:val="0000FF"/>
        </w:rPr>
        <w:t>by 2026/27</w:t>
      </w:r>
      <w:r w:rsidR="00B34268" w:rsidRPr="00E9705A">
        <w:rPr>
          <w:rFonts w:ascii="Times New Roman" w:hAnsi="Times New Roman" w:cs="Times New Roman"/>
          <w:color w:val="0000FF"/>
        </w:rPr>
        <w:t xml:space="preserve">, </w:t>
      </w:r>
      <w:r w:rsidR="00D748CA" w:rsidRPr="00E9705A">
        <w:rPr>
          <w:rFonts w:ascii="Times New Roman" w:hAnsi="Times New Roman" w:cs="Times New Roman"/>
          <w:color w:val="0000FF"/>
        </w:rPr>
        <w:t>in upcoming quarters</w:t>
      </w:r>
      <w:r w:rsidR="00C71D84" w:rsidRPr="00E9705A">
        <w:rPr>
          <w:rFonts w:ascii="Times New Roman" w:hAnsi="Times New Roman" w:cs="Times New Roman"/>
          <w:color w:val="0000FF"/>
        </w:rPr>
        <w:t xml:space="preserve"> </w:t>
      </w:r>
      <w:r w:rsidR="00B34268" w:rsidRPr="00E9705A">
        <w:rPr>
          <w:rFonts w:ascii="Times New Roman" w:hAnsi="Times New Roman" w:cs="Times New Roman"/>
          <w:color w:val="0000FF"/>
        </w:rPr>
        <w:t xml:space="preserve">the </w:t>
      </w:r>
      <w:r w:rsidR="003248EF" w:rsidRPr="00E9705A">
        <w:rPr>
          <w:rFonts w:ascii="Times New Roman" w:hAnsi="Times New Roman" w:cs="Times New Roman"/>
          <w:color w:val="0000FF"/>
        </w:rPr>
        <w:t>Office of the Cabinet</w:t>
      </w:r>
      <w:r w:rsidR="00906F0B" w:rsidRPr="00E9705A">
        <w:rPr>
          <w:rFonts w:ascii="Times New Roman" w:hAnsi="Times New Roman" w:cs="Times New Roman"/>
          <w:color w:val="0000FF"/>
        </w:rPr>
        <w:t xml:space="preserve"> </w:t>
      </w:r>
      <w:r w:rsidR="00B34268" w:rsidRPr="00E9705A">
        <w:rPr>
          <w:rFonts w:ascii="Times New Roman" w:hAnsi="Times New Roman" w:cs="Times New Roman"/>
          <w:color w:val="0000FF"/>
        </w:rPr>
        <w:t>will target performance improvement workshops</w:t>
      </w:r>
      <w:r w:rsidR="00FF559C" w:rsidRPr="00E9705A">
        <w:rPr>
          <w:rFonts w:ascii="Times New Roman" w:hAnsi="Times New Roman" w:cs="Times New Roman"/>
          <w:color w:val="0000FF"/>
        </w:rPr>
        <w:t xml:space="preserve"> at those Ministries </w:t>
      </w:r>
      <w:r w:rsidR="00B53D50" w:rsidRPr="00E9705A">
        <w:rPr>
          <w:rFonts w:ascii="Times New Roman" w:hAnsi="Times New Roman" w:cs="Times New Roman"/>
          <w:color w:val="0000FF"/>
        </w:rPr>
        <w:t>that</w:t>
      </w:r>
      <w:r w:rsidR="00FF559C" w:rsidRPr="00E9705A">
        <w:rPr>
          <w:rFonts w:ascii="Times New Roman" w:hAnsi="Times New Roman" w:cs="Times New Roman"/>
          <w:color w:val="0000FF"/>
        </w:rPr>
        <w:t xml:space="preserve"> consistently perform below the 65% mark</w:t>
      </w:r>
      <w:r w:rsidR="006C58ED" w:rsidRPr="00E9705A">
        <w:rPr>
          <w:rFonts w:ascii="Times New Roman" w:hAnsi="Times New Roman" w:cs="Times New Roman"/>
          <w:color w:val="0000FF"/>
        </w:rPr>
        <w:t xml:space="preserve"> (Response </w:t>
      </w:r>
      <w:r w:rsidR="0089129B" w:rsidRPr="00E9705A">
        <w:rPr>
          <w:rFonts w:ascii="Times New Roman" w:hAnsi="Times New Roman" w:cs="Times New Roman"/>
          <w:color w:val="0000FF"/>
        </w:rPr>
        <w:t xml:space="preserve">Strategy </w:t>
      </w:r>
      <w:r w:rsidR="006C58ED" w:rsidRPr="00E9705A">
        <w:rPr>
          <w:rFonts w:ascii="Times New Roman" w:hAnsi="Times New Roman" w:cs="Times New Roman"/>
          <w:color w:val="0000FF"/>
        </w:rPr>
        <w:t>2)</w:t>
      </w:r>
      <w:r w:rsidR="00FF559C" w:rsidRPr="00E9705A">
        <w:rPr>
          <w:rFonts w:ascii="Times New Roman" w:hAnsi="Times New Roman" w:cs="Times New Roman"/>
          <w:color w:val="0000FF"/>
        </w:rPr>
        <w:t>.</w:t>
      </w:r>
      <w:r w:rsidR="009F4437" w:rsidRPr="00E9705A">
        <w:rPr>
          <w:rFonts w:ascii="Times New Roman" w:hAnsi="Times New Roman" w:cs="Times New Roman"/>
          <w:color w:val="0000FF"/>
        </w:rPr>
        <w:t xml:space="preserve"> At the end of </w:t>
      </w:r>
      <w:r w:rsidR="00244089" w:rsidRPr="00E9705A">
        <w:rPr>
          <w:rFonts w:ascii="Times New Roman" w:hAnsi="Times New Roman" w:cs="Times New Roman"/>
          <w:color w:val="0000FF"/>
        </w:rPr>
        <w:t>2024/25</w:t>
      </w:r>
      <w:r w:rsidR="009F4437" w:rsidRPr="00E9705A">
        <w:rPr>
          <w:rFonts w:ascii="Times New Roman" w:hAnsi="Times New Roman" w:cs="Times New Roman"/>
          <w:color w:val="0000FF"/>
        </w:rPr>
        <w:t xml:space="preserve"> </w:t>
      </w:r>
      <w:r w:rsidR="00244089" w:rsidRPr="00E9705A">
        <w:rPr>
          <w:rFonts w:ascii="Times New Roman" w:hAnsi="Times New Roman" w:cs="Times New Roman"/>
          <w:color w:val="0000FF"/>
        </w:rPr>
        <w:t>Q</w:t>
      </w:r>
      <w:r w:rsidR="009F4437" w:rsidRPr="00E9705A">
        <w:rPr>
          <w:rFonts w:ascii="Times New Roman" w:hAnsi="Times New Roman" w:cs="Times New Roman"/>
          <w:color w:val="0000FF"/>
        </w:rPr>
        <w:t xml:space="preserve">2, </w:t>
      </w:r>
      <w:r w:rsidR="00244089" w:rsidRPr="00E9705A">
        <w:rPr>
          <w:rFonts w:ascii="Times New Roman" w:hAnsi="Times New Roman" w:cs="Times New Roman"/>
          <w:color w:val="0000FF"/>
        </w:rPr>
        <w:t>it is estimated that 76% of Ministries will obtain a performance score of ≥ 65% (Exact Forecast).</w:t>
      </w:r>
      <w:r w:rsidR="006C58ED" w:rsidRPr="00E9705A">
        <w:rPr>
          <w:rFonts w:ascii="Times New Roman" w:hAnsi="Times New Roman" w:cs="Times New Roman"/>
          <w:color w:val="0000FF"/>
        </w:rPr>
        <w:t>]</w:t>
      </w:r>
      <w:bookmarkEnd w:id="9"/>
    </w:p>
    <w:p w14:paraId="24997B2F" w14:textId="77777777" w:rsidR="00463AF3" w:rsidRDefault="00463AF3" w:rsidP="00244089">
      <w:pPr>
        <w:jc w:val="both"/>
        <w:rPr>
          <w:rFonts w:ascii="Times New Roman" w:hAnsi="Times New Roman" w:cs="Times New Roman"/>
          <w:color w:val="0000FF"/>
        </w:rPr>
      </w:pPr>
    </w:p>
    <w:p w14:paraId="3672AB1A" w14:textId="77777777" w:rsidR="00463AF3" w:rsidRDefault="00463AF3" w:rsidP="00244089">
      <w:pPr>
        <w:jc w:val="both"/>
        <w:rPr>
          <w:rFonts w:ascii="Times New Roman" w:hAnsi="Times New Roman" w:cs="Times New Roman"/>
          <w:color w:val="0000FF"/>
        </w:rPr>
      </w:pPr>
    </w:p>
    <w:p w14:paraId="6AC87CF0" w14:textId="77777777" w:rsidR="00463AF3" w:rsidRDefault="00463AF3" w:rsidP="00244089">
      <w:pPr>
        <w:jc w:val="both"/>
        <w:rPr>
          <w:rFonts w:ascii="Times New Roman" w:hAnsi="Times New Roman" w:cs="Times New Roman"/>
          <w:color w:val="0000FF"/>
        </w:rPr>
      </w:pPr>
    </w:p>
    <w:p w14:paraId="1D76DCAB" w14:textId="77777777" w:rsidR="00463AF3" w:rsidRDefault="00463AF3" w:rsidP="00244089">
      <w:pPr>
        <w:jc w:val="both"/>
        <w:rPr>
          <w:rFonts w:ascii="Times New Roman" w:hAnsi="Times New Roman" w:cs="Times New Roman"/>
          <w:color w:val="0000FF"/>
        </w:rPr>
      </w:pPr>
    </w:p>
    <w:p w14:paraId="32D81773" w14:textId="77777777" w:rsidR="00463AF3" w:rsidRDefault="00463AF3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br w:type="page"/>
      </w:r>
    </w:p>
    <w:p w14:paraId="06939494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3D2102C1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054EA45B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70F62AB3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2439E06D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2F1A03E3" w14:textId="77777777" w:rsidR="00463AF3" w:rsidRDefault="00463AF3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</w:p>
    <w:p w14:paraId="1413D8AF" w14:textId="169B2B17" w:rsidR="00463AF3" w:rsidRPr="00377DDB" w:rsidRDefault="00463AF3" w:rsidP="00463AF3">
      <w:pPr>
        <w:pStyle w:val="Heading1"/>
        <w:jc w:val="center"/>
        <w:rPr>
          <w:rFonts w:ascii="Elephant" w:hAnsi="Elephant"/>
          <w:color w:val="0000FF"/>
          <w:sz w:val="96"/>
          <w:szCs w:val="96"/>
          <w:lang w:val="en-US"/>
        </w:rPr>
      </w:pPr>
      <w:bookmarkStart w:id="10" w:name="_Toc223953907"/>
      <w:r>
        <w:rPr>
          <w:rFonts w:ascii="Elephant" w:hAnsi="Elephant"/>
          <w:color w:val="0000FF"/>
          <w:sz w:val="96"/>
          <w:szCs w:val="96"/>
          <w:lang w:val="en-US"/>
        </w:rPr>
        <w:t>3</w:t>
      </w:r>
      <w:r w:rsidRPr="00377DDB">
        <w:rPr>
          <w:rFonts w:ascii="Elephant" w:hAnsi="Elephant"/>
          <w:color w:val="0000FF"/>
          <w:sz w:val="96"/>
          <w:szCs w:val="96"/>
          <w:lang w:val="en-US"/>
        </w:rPr>
        <w:t xml:space="preserve">.0 PERFORMANCE </w:t>
      </w:r>
      <w:r>
        <w:rPr>
          <w:rFonts w:ascii="Elephant" w:hAnsi="Elephant"/>
          <w:color w:val="0000FF"/>
          <w:sz w:val="96"/>
          <w:szCs w:val="96"/>
          <w:lang w:val="en-US"/>
        </w:rPr>
        <w:t>UPDATE</w:t>
      </w:r>
      <w:bookmarkEnd w:id="10"/>
    </w:p>
    <w:p w14:paraId="5473FEDA" w14:textId="66B7AAA2" w:rsidR="00463AF3" w:rsidRPr="00E9705A" w:rsidRDefault="006C58ED" w:rsidP="00244089">
      <w:pPr>
        <w:jc w:val="both"/>
        <w:rPr>
          <w:rFonts w:ascii="Times New Roman" w:hAnsi="Times New Roman" w:cs="Times New Roman"/>
          <w:b/>
          <w:bCs/>
          <w:color w:val="CC00CC"/>
          <w:lang w:val="en-US"/>
        </w:rPr>
      </w:pPr>
      <w:r w:rsidRPr="00E9705A">
        <w:rPr>
          <w:rFonts w:ascii="Times New Roman" w:hAnsi="Times New Roman" w:cs="Times New Roman"/>
          <w:b/>
          <w:bCs/>
          <w:color w:val="CC00CC"/>
          <w:lang w:val="en-US"/>
        </w:rPr>
        <w:br w:type="page"/>
      </w:r>
    </w:p>
    <w:p w14:paraId="26DC1BC2" w14:textId="77777777" w:rsidR="00E423B1" w:rsidRDefault="00E423B1" w:rsidP="00642420">
      <w:pPr>
        <w:pStyle w:val="Heading1"/>
        <w:rPr>
          <w:rFonts w:ascii="Elephant" w:hAnsi="Elephant" w:cs="Times New Roman"/>
          <w:color w:val="0000FF"/>
          <w:sz w:val="32"/>
          <w:szCs w:val="32"/>
          <w:lang w:val="en-US"/>
        </w:rPr>
        <w:sectPr w:rsidR="00E423B1" w:rsidSect="00A76E36">
          <w:pgSz w:w="12240" w:h="15840" w:code="1"/>
          <w:pgMar w:top="1440" w:right="1440" w:bottom="1440" w:left="1440" w:header="708" w:footer="1099" w:gutter="0"/>
          <w:cols w:space="708"/>
          <w:docGrid w:linePitch="360"/>
        </w:sectPr>
      </w:pPr>
    </w:p>
    <w:p w14:paraId="42FD3723" w14:textId="01B2C6A4" w:rsidR="003D00C3" w:rsidRPr="006D3949" w:rsidRDefault="006D3949" w:rsidP="00642420">
      <w:pPr>
        <w:pStyle w:val="Heading1"/>
        <w:rPr>
          <w:rFonts w:ascii="Elephant" w:hAnsi="Elephant" w:cs="Times New Roman"/>
          <w:color w:val="0000FF"/>
          <w:sz w:val="32"/>
          <w:szCs w:val="32"/>
          <w:lang w:val="en-US"/>
        </w:rPr>
      </w:pPr>
      <w:bookmarkStart w:id="11" w:name="_Toc223953908"/>
      <w:r>
        <w:rPr>
          <w:rFonts w:ascii="Elephant" w:hAnsi="Elephant" w:cs="Times New Roman"/>
          <w:color w:val="0000FF"/>
          <w:sz w:val="32"/>
          <w:szCs w:val="32"/>
          <w:lang w:val="en-US"/>
        </w:rPr>
        <w:lastRenderedPageBreak/>
        <w:t>3.</w:t>
      </w:r>
      <w:r w:rsidR="00E92727">
        <w:rPr>
          <w:rFonts w:ascii="Elephant" w:hAnsi="Elephant" w:cs="Times New Roman"/>
          <w:color w:val="0000FF"/>
          <w:sz w:val="32"/>
          <w:szCs w:val="32"/>
          <w:lang w:val="en-US"/>
        </w:rPr>
        <w:t>1</w:t>
      </w:r>
      <w:r>
        <w:rPr>
          <w:rFonts w:ascii="Elephant" w:hAnsi="Elephant" w:cs="Times New Roman"/>
          <w:color w:val="0000FF"/>
          <w:sz w:val="32"/>
          <w:szCs w:val="32"/>
          <w:lang w:val="en-US"/>
        </w:rPr>
        <w:t xml:space="preserve"> </w:t>
      </w:r>
      <w:r w:rsidR="00B15902">
        <w:rPr>
          <w:rFonts w:ascii="Elephant" w:hAnsi="Elephant" w:cs="Times New Roman"/>
          <w:color w:val="0000FF"/>
          <w:sz w:val="32"/>
          <w:szCs w:val="32"/>
          <w:lang w:val="en-US"/>
        </w:rPr>
        <w:t>Results Matri</w:t>
      </w:r>
      <w:r w:rsidR="00010A63">
        <w:rPr>
          <w:rFonts w:ascii="Elephant" w:hAnsi="Elephant" w:cs="Times New Roman"/>
          <w:color w:val="0000FF"/>
          <w:sz w:val="32"/>
          <w:szCs w:val="32"/>
          <w:lang w:val="en-US"/>
        </w:rPr>
        <w:t>ces by Sub-Programme</w:t>
      </w:r>
      <w:bookmarkEnd w:id="11"/>
    </w:p>
    <w:p w14:paraId="5F34B349" w14:textId="09C9B2AB" w:rsidR="006D555E" w:rsidRPr="00945D94" w:rsidRDefault="007941D3" w:rsidP="00EC7A85">
      <w:pPr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b/>
          <w:bCs/>
          <w:color w:val="CC00CC"/>
          <w:lang w:val="en-US"/>
        </w:rPr>
        <w:t>Insert</w:t>
      </w:r>
      <w:r w:rsidR="00C81256" w:rsidRPr="00E9705A">
        <w:rPr>
          <w:rFonts w:ascii="Times New Roman" w:hAnsi="Times New Roman" w:cs="Times New Roman"/>
          <w:b/>
          <w:bCs/>
          <w:color w:val="CC00CC"/>
          <w:lang w:val="en-US"/>
        </w:rPr>
        <w:t xml:space="preserve"> </w:t>
      </w:r>
      <w:r w:rsidR="0075476D" w:rsidRPr="00E9705A">
        <w:rPr>
          <w:rFonts w:ascii="Times New Roman" w:hAnsi="Times New Roman" w:cs="Times New Roman"/>
          <w:b/>
          <w:bCs/>
          <w:color w:val="CC00CC"/>
          <w:lang w:val="en-US"/>
        </w:rPr>
        <w:t>here</w:t>
      </w:r>
      <w:r w:rsidR="00C81256" w:rsidRPr="00E9705A">
        <w:rPr>
          <w:rFonts w:ascii="Times New Roman" w:hAnsi="Times New Roman" w:cs="Times New Roman"/>
          <w:b/>
          <w:bCs/>
          <w:color w:val="CC00CC"/>
          <w:lang w:val="en-US"/>
        </w:rPr>
        <w:t xml:space="preserve"> the Microsoft Excel document containing the performance update on each </w:t>
      </w:r>
      <w:r w:rsidR="00962D60">
        <w:rPr>
          <w:rFonts w:ascii="Times New Roman" w:hAnsi="Times New Roman" w:cs="Times New Roman"/>
          <w:b/>
          <w:bCs/>
          <w:color w:val="CC00CC"/>
          <w:lang w:val="en-US"/>
        </w:rPr>
        <w:t>sub-programme</w:t>
      </w:r>
      <w:r w:rsidR="00C81256" w:rsidRPr="00E9705A">
        <w:rPr>
          <w:rFonts w:ascii="Times New Roman" w:hAnsi="Times New Roman" w:cs="Times New Roman"/>
          <w:b/>
          <w:bCs/>
          <w:color w:val="CC00CC"/>
          <w:lang w:val="en-US"/>
        </w:rPr>
        <w:t xml:space="preserve"> for the period under review</w:t>
      </w:r>
      <w:r w:rsidR="00E83648" w:rsidRPr="00E9705A">
        <w:rPr>
          <w:rFonts w:ascii="Times New Roman" w:hAnsi="Times New Roman" w:cs="Times New Roman"/>
          <w:b/>
          <w:bCs/>
          <w:color w:val="CC00CC"/>
          <w:lang w:val="en-US"/>
        </w:rPr>
        <w:t xml:space="preserve">. </w:t>
      </w:r>
    </w:p>
    <w:p w14:paraId="25C78D8A" w14:textId="77777777" w:rsidR="00FF0392" w:rsidRDefault="00FF0392" w:rsidP="00AD32C3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1B62997C" w14:textId="77777777" w:rsidR="00FF0392" w:rsidRDefault="00FF0392" w:rsidP="00AD32C3">
      <w:pPr>
        <w:jc w:val="both"/>
        <w:rPr>
          <w:rFonts w:ascii="Times New Roman" w:hAnsi="Times New Roman" w:cs="Times New Roman"/>
          <w:color w:val="FF0000"/>
          <w:lang w:val="en-US"/>
        </w:rPr>
      </w:pPr>
    </w:p>
    <w:p w14:paraId="04908AB8" w14:textId="13FA6DC2" w:rsidR="00AD32C3" w:rsidRPr="00E9705A" w:rsidRDefault="00AD32C3" w:rsidP="00AD32C3">
      <w:pPr>
        <w:jc w:val="both"/>
        <w:rPr>
          <w:rFonts w:ascii="Times New Roman" w:hAnsi="Times New Roman" w:cs="Times New Roman"/>
          <w:color w:val="FF0000"/>
          <w:lang w:val="en-US"/>
        </w:rPr>
      </w:pPr>
      <w:r w:rsidRPr="00E9705A">
        <w:rPr>
          <w:rFonts w:ascii="Times New Roman" w:hAnsi="Times New Roman" w:cs="Times New Roman"/>
          <w:color w:val="FF0000"/>
          <w:lang w:val="en-US"/>
        </w:rPr>
        <w:t>Other Notes</w:t>
      </w:r>
      <w:r w:rsidR="005F2BDA">
        <w:rPr>
          <w:rFonts w:ascii="Times New Roman" w:hAnsi="Times New Roman" w:cs="Times New Roman"/>
          <w:color w:val="FF0000"/>
          <w:lang w:val="en-US"/>
        </w:rPr>
        <w:t xml:space="preserve"> and Instructions</w:t>
      </w:r>
      <w:r w:rsidR="00705726">
        <w:rPr>
          <w:rFonts w:ascii="Times New Roman" w:hAnsi="Times New Roman" w:cs="Times New Roman"/>
          <w:color w:val="FF0000"/>
          <w:lang w:val="en-US"/>
        </w:rPr>
        <w:t xml:space="preserve"> for </w:t>
      </w:r>
      <w:proofErr w:type="spellStart"/>
      <w:r w:rsidR="005F2BDA">
        <w:rPr>
          <w:rFonts w:ascii="Times New Roman" w:hAnsi="Times New Roman" w:cs="Times New Roman"/>
          <w:color w:val="FF0000"/>
          <w:lang w:val="en-US"/>
        </w:rPr>
        <w:t>utilising</w:t>
      </w:r>
      <w:proofErr w:type="spellEnd"/>
      <w:r w:rsidR="005F2BDA">
        <w:rPr>
          <w:rFonts w:ascii="Times New Roman" w:hAnsi="Times New Roman" w:cs="Times New Roman"/>
          <w:color w:val="FF0000"/>
          <w:lang w:val="en-US"/>
        </w:rPr>
        <w:t xml:space="preserve"> this Quarterly </w:t>
      </w:r>
      <w:r w:rsidR="006647E5">
        <w:rPr>
          <w:rFonts w:ascii="Times New Roman" w:hAnsi="Times New Roman" w:cs="Times New Roman"/>
          <w:color w:val="FF0000"/>
          <w:lang w:val="en-US"/>
        </w:rPr>
        <w:t xml:space="preserve">Performance </w:t>
      </w:r>
      <w:r w:rsidR="005F2BDA">
        <w:rPr>
          <w:rFonts w:ascii="Times New Roman" w:hAnsi="Times New Roman" w:cs="Times New Roman"/>
          <w:color w:val="FF0000"/>
          <w:lang w:val="en-US"/>
        </w:rPr>
        <w:t>Reporting Template</w:t>
      </w:r>
      <w:r w:rsidRPr="00E9705A">
        <w:rPr>
          <w:rFonts w:ascii="Times New Roman" w:hAnsi="Times New Roman" w:cs="Times New Roman"/>
          <w:color w:val="FF0000"/>
          <w:lang w:val="en-US"/>
        </w:rPr>
        <w:t xml:space="preserve">: </w:t>
      </w:r>
    </w:p>
    <w:p w14:paraId="753D2FDB" w14:textId="462FD959" w:rsidR="005F72C0" w:rsidRPr="00E9705A" w:rsidRDefault="005F72C0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bookmarkStart w:id="12" w:name="_Hlk173588183"/>
      <w:r w:rsidRPr="00E9705A">
        <w:rPr>
          <w:rFonts w:ascii="Times New Roman" w:hAnsi="Times New Roman" w:cs="Times New Roman"/>
          <w:color w:val="FF0000"/>
          <w:lang w:val="en-US"/>
        </w:rPr>
        <w:t>Insert the name of the Ministry, reporting period and report date on the Cover Page.</w:t>
      </w:r>
    </w:p>
    <w:p w14:paraId="7C171B1E" w14:textId="425F7014" w:rsidR="00AD32C3" w:rsidRPr="00E9705A" w:rsidRDefault="00AD32C3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 w:rsidRPr="00E9705A">
        <w:rPr>
          <w:rFonts w:ascii="Times New Roman" w:hAnsi="Times New Roman" w:cs="Times New Roman"/>
          <w:color w:val="FF0000"/>
          <w:lang w:val="en-US"/>
        </w:rPr>
        <w:t>Insert the name of the Ministry and reporting period in the header</w:t>
      </w:r>
      <w:r w:rsidR="003523A1">
        <w:rPr>
          <w:rFonts w:ascii="Times New Roman" w:hAnsi="Times New Roman" w:cs="Times New Roman"/>
          <w:color w:val="FF0000"/>
          <w:lang w:val="en-US"/>
        </w:rPr>
        <w:t xml:space="preserve">, and the </w:t>
      </w:r>
      <w:r w:rsidR="00E70562">
        <w:rPr>
          <w:rFonts w:ascii="Times New Roman" w:hAnsi="Times New Roman" w:cs="Times New Roman"/>
          <w:color w:val="FF0000"/>
          <w:lang w:val="en-US"/>
        </w:rPr>
        <w:t>name of the Ministry and report date in the footer of this Template.</w:t>
      </w:r>
    </w:p>
    <w:p w14:paraId="7993B8AC" w14:textId="5D96D1E4" w:rsidR="00E97AFF" w:rsidRPr="00E9705A" w:rsidRDefault="00E97AFF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 w:rsidRPr="00E9705A">
        <w:rPr>
          <w:rFonts w:ascii="Times New Roman" w:hAnsi="Times New Roman" w:cs="Times New Roman"/>
          <w:color w:val="FF0000"/>
          <w:lang w:val="en-US"/>
        </w:rPr>
        <w:t xml:space="preserve">Delete the instructions row from the Recommendations table on page </w:t>
      </w:r>
      <w:r w:rsidR="001E0076">
        <w:rPr>
          <w:rFonts w:ascii="Times New Roman" w:hAnsi="Times New Roman" w:cs="Times New Roman"/>
          <w:color w:val="FF0000"/>
          <w:lang w:val="en-US"/>
        </w:rPr>
        <w:t>2</w:t>
      </w:r>
      <w:r w:rsidRPr="00E9705A">
        <w:rPr>
          <w:rFonts w:ascii="Times New Roman" w:hAnsi="Times New Roman" w:cs="Times New Roman"/>
          <w:color w:val="FF0000"/>
          <w:lang w:val="en-US"/>
        </w:rPr>
        <w:t>.</w:t>
      </w:r>
    </w:p>
    <w:p w14:paraId="4BBD25EC" w14:textId="069F40CA" w:rsidR="001C0DCD" w:rsidRPr="00E9705A" w:rsidRDefault="001C0DCD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 w:rsidRPr="00E9705A">
        <w:rPr>
          <w:rFonts w:ascii="Times New Roman" w:hAnsi="Times New Roman" w:cs="Times New Roman"/>
          <w:color w:val="FF0000"/>
          <w:lang w:val="en-US"/>
        </w:rPr>
        <w:t xml:space="preserve">The Ministry has the freedom to use its own </w:t>
      </w:r>
      <w:r w:rsidR="007226A9" w:rsidRPr="00E9705A">
        <w:rPr>
          <w:rFonts w:ascii="Times New Roman" w:hAnsi="Times New Roman" w:cs="Times New Roman"/>
          <w:color w:val="FF0000"/>
          <w:lang w:val="en-US"/>
        </w:rPr>
        <w:t>D</w:t>
      </w:r>
      <w:r w:rsidRPr="00E9705A">
        <w:rPr>
          <w:rFonts w:ascii="Times New Roman" w:hAnsi="Times New Roman" w:cs="Times New Roman"/>
          <w:color w:val="FF0000"/>
          <w:lang w:val="en-US"/>
        </w:rPr>
        <w:t xml:space="preserve">ashboard </w:t>
      </w:r>
      <w:r w:rsidR="007226A9" w:rsidRPr="00E9705A">
        <w:rPr>
          <w:rFonts w:ascii="Times New Roman" w:hAnsi="Times New Roman" w:cs="Times New Roman"/>
          <w:color w:val="FF0000"/>
          <w:lang w:val="en-US"/>
        </w:rPr>
        <w:t>template,</w:t>
      </w:r>
      <w:r w:rsidRPr="00E9705A">
        <w:rPr>
          <w:rFonts w:ascii="Times New Roman" w:hAnsi="Times New Roman" w:cs="Times New Roman"/>
          <w:color w:val="FF0000"/>
          <w:lang w:val="en-US"/>
        </w:rPr>
        <w:t xml:space="preserve"> or the sample </w:t>
      </w:r>
      <w:r w:rsidR="007226A9" w:rsidRPr="00E9705A">
        <w:rPr>
          <w:rFonts w:ascii="Times New Roman" w:hAnsi="Times New Roman" w:cs="Times New Roman"/>
          <w:color w:val="FF0000"/>
          <w:lang w:val="en-US"/>
        </w:rPr>
        <w:t>trend graphs provided on page</w:t>
      </w:r>
      <w:r w:rsidR="00E97AFF" w:rsidRPr="00E9705A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1C386F">
        <w:rPr>
          <w:rFonts w:ascii="Times New Roman" w:hAnsi="Times New Roman" w:cs="Times New Roman"/>
          <w:color w:val="FF0000"/>
          <w:lang w:val="en-US"/>
        </w:rPr>
        <w:t>4</w:t>
      </w:r>
      <w:r w:rsidR="007226A9" w:rsidRPr="00E9705A">
        <w:rPr>
          <w:rFonts w:ascii="Times New Roman" w:hAnsi="Times New Roman" w:cs="Times New Roman"/>
          <w:color w:val="FF0000"/>
          <w:lang w:val="en-US"/>
        </w:rPr>
        <w:t>. However, the Dashboard must be contained on a single page</w:t>
      </w:r>
      <w:r w:rsidR="000C3003">
        <w:rPr>
          <w:rFonts w:ascii="Times New Roman" w:hAnsi="Times New Roman" w:cs="Times New Roman"/>
          <w:color w:val="FF0000"/>
          <w:lang w:val="en-US"/>
        </w:rPr>
        <w:t xml:space="preserve">, </w:t>
      </w:r>
      <w:r w:rsidR="00027207">
        <w:rPr>
          <w:rFonts w:ascii="Times New Roman" w:hAnsi="Times New Roman" w:cs="Times New Roman"/>
          <w:color w:val="FF0000"/>
          <w:lang w:val="en-US"/>
        </w:rPr>
        <w:t>presenting</w:t>
      </w:r>
      <w:r w:rsidR="000C3003">
        <w:rPr>
          <w:rFonts w:ascii="Times New Roman" w:hAnsi="Times New Roman" w:cs="Times New Roman"/>
          <w:color w:val="FF0000"/>
          <w:lang w:val="en-US"/>
        </w:rPr>
        <w:t xml:space="preserve"> four (4) appropriate </w:t>
      </w:r>
      <w:r w:rsidR="0055742F">
        <w:rPr>
          <w:rFonts w:ascii="Times New Roman" w:hAnsi="Times New Roman" w:cs="Times New Roman"/>
          <w:color w:val="FF0000"/>
          <w:lang w:val="en-US"/>
        </w:rPr>
        <w:t xml:space="preserve">KPI </w:t>
      </w:r>
      <w:r w:rsidR="000C3003">
        <w:rPr>
          <w:rFonts w:ascii="Times New Roman" w:hAnsi="Times New Roman" w:cs="Times New Roman"/>
          <w:color w:val="FF0000"/>
          <w:lang w:val="en-US"/>
        </w:rPr>
        <w:t>trend graphs that have five (5) quarterly data points</w:t>
      </w:r>
      <w:r w:rsidR="00854C1A">
        <w:rPr>
          <w:rFonts w:ascii="Times New Roman" w:hAnsi="Times New Roman" w:cs="Times New Roman"/>
          <w:color w:val="FF0000"/>
          <w:lang w:val="en-US"/>
        </w:rPr>
        <w:t xml:space="preserve"> and a forecast.</w:t>
      </w:r>
    </w:p>
    <w:p w14:paraId="3A623905" w14:textId="1A7B4B13" w:rsidR="00A76E36" w:rsidRDefault="00134B85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Except</w:t>
      </w:r>
      <w:r w:rsidR="00AD32C3" w:rsidRPr="00E9705A">
        <w:rPr>
          <w:rFonts w:ascii="Times New Roman" w:hAnsi="Times New Roman" w:cs="Times New Roman"/>
          <w:color w:val="FF0000"/>
          <w:lang w:val="en-US"/>
        </w:rPr>
        <w:t xml:space="preserve"> for the Cover Page and chapter titles, all coloured </w:t>
      </w:r>
      <w:r w:rsidR="004466BC" w:rsidRPr="00E9705A">
        <w:rPr>
          <w:rFonts w:ascii="Times New Roman" w:hAnsi="Times New Roman" w:cs="Times New Roman"/>
          <w:color w:val="FF0000"/>
          <w:lang w:val="en-US"/>
        </w:rPr>
        <w:t>text</w:t>
      </w:r>
      <w:r w:rsidR="00AD32C3" w:rsidRPr="00E9705A">
        <w:rPr>
          <w:rFonts w:ascii="Times New Roman" w:hAnsi="Times New Roman" w:cs="Times New Roman"/>
          <w:color w:val="FF0000"/>
          <w:lang w:val="en-US"/>
        </w:rPr>
        <w:t xml:space="preserve"> in this Template are instructions</w:t>
      </w:r>
      <w:r w:rsidR="00A04CE4">
        <w:rPr>
          <w:rFonts w:ascii="Times New Roman" w:hAnsi="Times New Roman" w:cs="Times New Roman"/>
          <w:color w:val="FF0000"/>
          <w:lang w:val="en-US"/>
        </w:rPr>
        <w:t>/sample data</w:t>
      </w:r>
      <w:r w:rsidR="00AD32C3" w:rsidRPr="00E9705A">
        <w:rPr>
          <w:rFonts w:ascii="Times New Roman" w:hAnsi="Times New Roman" w:cs="Times New Roman"/>
          <w:color w:val="FF0000"/>
          <w:lang w:val="en-US"/>
        </w:rPr>
        <w:t xml:space="preserve"> on how to use the Template and should, therefore, be </w:t>
      </w:r>
      <w:r w:rsidR="00DD5ECE">
        <w:rPr>
          <w:rFonts w:ascii="Times New Roman" w:hAnsi="Times New Roman" w:cs="Times New Roman"/>
          <w:color w:val="FF0000"/>
          <w:lang w:val="en-US"/>
        </w:rPr>
        <w:t>updated/</w:t>
      </w:r>
      <w:r w:rsidR="00AD32C3" w:rsidRPr="00E9705A">
        <w:rPr>
          <w:rFonts w:ascii="Times New Roman" w:hAnsi="Times New Roman" w:cs="Times New Roman"/>
          <w:color w:val="FF0000"/>
          <w:lang w:val="en-US"/>
        </w:rPr>
        <w:t xml:space="preserve">deleted before submission of the </w:t>
      </w:r>
      <w:proofErr w:type="spellStart"/>
      <w:r w:rsidR="00AD32C3" w:rsidRPr="00E9705A">
        <w:rPr>
          <w:rFonts w:ascii="Times New Roman" w:hAnsi="Times New Roman" w:cs="Times New Roman"/>
          <w:color w:val="FF0000"/>
          <w:lang w:val="en-US"/>
        </w:rPr>
        <w:t>finalised</w:t>
      </w:r>
      <w:proofErr w:type="spellEnd"/>
      <w:r w:rsidR="00AD32C3" w:rsidRPr="00E9705A">
        <w:rPr>
          <w:rFonts w:ascii="Times New Roman" w:hAnsi="Times New Roman" w:cs="Times New Roman"/>
          <w:color w:val="FF0000"/>
          <w:lang w:val="en-US"/>
        </w:rPr>
        <w:t xml:space="preserve"> report to the Office of the Cabinet.</w:t>
      </w:r>
    </w:p>
    <w:p w14:paraId="3D4988FF" w14:textId="02680185" w:rsidR="00146DCF" w:rsidRDefault="00460D68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>All figures</w:t>
      </w:r>
      <w:r w:rsidR="0035104F">
        <w:rPr>
          <w:rFonts w:ascii="Times New Roman" w:hAnsi="Times New Roman" w:cs="Times New Roman"/>
          <w:color w:val="FF0000"/>
          <w:lang w:val="en-US"/>
        </w:rPr>
        <w:t>/charts/graphs</w:t>
      </w:r>
      <w:r>
        <w:rPr>
          <w:rFonts w:ascii="Times New Roman" w:hAnsi="Times New Roman" w:cs="Times New Roman"/>
          <w:color w:val="FF0000"/>
          <w:lang w:val="en-US"/>
        </w:rPr>
        <w:t xml:space="preserve"> on the Dashboard should be properly labeled with titles, keys and </w:t>
      </w:r>
      <w:r w:rsidR="00595D97">
        <w:rPr>
          <w:rFonts w:ascii="Times New Roman" w:hAnsi="Times New Roman" w:cs="Times New Roman"/>
          <w:color w:val="FF0000"/>
          <w:lang w:val="en-US"/>
        </w:rPr>
        <w:t>variables on each axis.</w:t>
      </w:r>
    </w:p>
    <w:p w14:paraId="06AA6659" w14:textId="37480A6A" w:rsidR="000866F6" w:rsidRPr="00E9705A" w:rsidRDefault="00565DB6" w:rsidP="00AD32C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In </w:t>
      </w:r>
      <w:r w:rsidR="006657DC">
        <w:rPr>
          <w:rFonts w:ascii="Times New Roman" w:hAnsi="Times New Roman" w:cs="Times New Roman"/>
          <w:color w:val="FF0000"/>
          <w:lang w:val="en-US"/>
        </w:rPr>
        <w:t>the Results Matrix</w:t>
      </w:r>
      <w:r w:rsidR="00BF6B79">
        <w:rPr>
          <w:rFonts w:ascii="Times New Roman" w:hAnsi="Times New Roman" w:cs="Times New Roman"/>
          <w:color w:val="FF0000"/>
          <w:lang w:val="en-US"/>
        </w:rPr>
        <w:t xml:space="preserve"> in Exc</w:t>
      </w:r>
      <w:r w:rsidR="00277FB9">
        <w:rPr>
          <w:rFonts w:ascii="Times New Roman" w:hAnsi="Times New Roman" w:cs="Times New Roman"/>
          <w:color w:val="FF0000"/>
          <w:lang w:val="en-US"/>
        </w:rPr>
        <w:t>el</w:t>
      </w:r>
      <w:r w:rsidR="006657DC">
        <w:rPr>
          <w:rFonts w:ascii="Times New Roman" w:hAnsi="Times New Roman" w:cs="Times New Roman"/>
          <w:color w:val="FF0000"/>
          <w:lang w:val="en-US"/>
        </w:rPr>
        <w:t>, e</w:t>
      </w:r>
      <w:r>
        <w:rPr>
          <w:rFonts w:ascii="Times New Roman" w:hAnsi="Times New Roman" w:cs="Times New Roman"/>
          <w:color w:val="FF0000"/>
          <w:lang w:val="en-US"/>
        </w:rPr>
        <w:t xml:space="preserve">ach Initiative </w:t>
      </w:r>
      <w:r w:rsidR="006657DC">
        <w:rPr>
          <w:rFonts w:ascii="Times New Roman" w:hAnsi="Times New Roman" w:cs="Times New Roman"/>
          <w:color w:val="FF0000"/>
          <w:lang w:val="en-US"/>
        </w:rPr>
        <w:t xml:space="preserve">must be clearly identified as either a project or </w:t>
      </w:r>
      <w:r w:rsidR="00B91B71">
        <w:rPr>
          <w:rFonts w:ascii="Times New Roman" w:hAnsi="Times New Roman" w:cs="Times New Roman"/>
          <w:color w:val="FF0000"/>
          <w:lang w:val="en-US"/>
        </w:rPr>
        <w:t xml:space="preserve">an ongoing operational activity. </w:t>
      </w:r>
      <w:r w:rsidR="00277FB9">
        <w:rPr>
          <w:rFonts w:ascii="Times New Roman" w:hAnsi="Times New Roman" w:cs="Times New Roman"/>
          <w:color w:val="FF0000"/>
          <w:lang w:val="en-US"/>
        </w:rPr>
        <w:t>Projects are identified as being such</w:t>
      </w:r>
      <w:r w:rsidR="00027207">
        <w:rPr>
          <w:rFonts w:ascii="Times New Roman" w:hAnsi="Times New Roman" w:cs="Times New Roman"/>
          <w:color w:val="FF0000"/>
          <w:lang w:val="en-US"/>
        </w:rPr>
        <w:t xml:space="preserve"> with a</w:t>
      </w:r>
      <w:r w:rsidR="00174CB4">
        <w:rPr>
          <w:rFonts w:ascii="Times New Roman" w:hAnsi="Times New Roman" w:cs="Times New Roman"/>
          <w:color w:val="FF0000"/>
          <w:lang w:val="en-US"/>
        </w:rPr>
        <w:t xml:space="preserve"> start and end date. </w:t>
      </w:r>
      <w:r w:rsidR="00EE435B">
        <w:rPr>
          <w:rFonts w:ascii="Times New Roman" w:hAnsi="Times New Roman" w:cs="Times New Roman"/>
          <w:color w:val="FF0000"/>
          <w:lang w:val="en-US"/>
        </w:rPr>
        <w:t>Since operational activities are ongoing,</w:t>
      </w:r>
      <w:r w:rsidR="00AF3839">
        <w:rPr>
          <w:rFonts w:ascii="Times New Roman" w:hAnsi="Times New Roman" w:cs="Times New Roman"/>
          <w:color w:val="FF0000"/>
          <w:lang w:val="en-US"/>
        </w:rPr>
        <w:t xml:space="preserve"> start and end dates are not required.</w:t>
      </w:r>
    </w:p>
    <w:bookmarkEnd w:id="12"/>
    <w:p w14:paraId="535FB2F7" w14:textId="77777777" w:rsidR="00A76E36" w:rsidRPr="00E9705A" w:rsidRDefault="00A76E36" w:rsidP="00A76E36">
      <w:pPr>
        <w:rPr>
          <w:rFonts w:ascii="Times New Roman" w:hAnsi="Times New Roman" w:cs="Times New Roman"/>
          <w:lang w:val="en-US"/>
        </w:rPr>
      </w:pPr>
    </w:p>
    <w:p w14:paraId="4E52B56F" w14:textId="77777777" w:rsidR="00A76E36" w:rsidRPr="00E9705A" w:rsidRDefault="00A76E36" w:rsidP="00A76E36">
      <w:pPr>
        <w:rPr>
          <w:rFonts w:ascii="Times New Roman" w:hAnsi="Times New Roman" w:cs="Times New Roman"/>
          <w:lang w:val="en-US"/>
        </w:rPr>
      </w:pPr>
    </w:p>
    <w:p w14:paraId="6F68FE6D" w14:textId="77777777" w:rsidR="00A76E36" w:rsidRPr="00E9705A" w:rsidRDefault="00A76E36" w:rsidP="00A76E36">
      <w:pPr>
        <w:rPr>
          <w:rFonts w:ascii="Times New Roman" w:hAnsi="Times New Roman" w:cs="Times New Roman"/>
          <w:lang w:val="en-US"/>
        </w:rPr>
      </w:pPr>
    </w:p>
    <w:sectPr w:rsidR="00A76E36" w:rsidRPr="00E9705A" w:rsidSect="001E0663">
      <w:pgSz w:w="15840" w:h="12240" w:orient="landscape" w:code="1"/>
      <w:pgMar w:top="1440" w:right="1440" w:bottom="1440" w:left="1440" w:header="708" w:footer="10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4368" w14:textId="77777777" w:rsidR="004D11B5" w:rsidRDefault="004D11B5" w:rsidP="00CC7DA2">
      <w:pPr>
        <w:spacing w:after="0" w:line="240" w:lineRule="auto"/>
      </w:pPr>
      <w:r>
        <w:separator/>
      </w:r>
    </w:p>
  </w:endnote>
  <w:endnote w:type="continuationSeparator" w:id="0">
    <w:p w14:paraId="3639FF42" w14:textId="77777777" w:rsidR="004D11B5" w:rsidRDefault="004D11B5" w:rsidP="00CC7DA2">
      <w:pPr>
        <w:spacing w:after="0" w:line="240" w:lineRule="auto"/>
      </w:pPr>
      <w:r>
        <w:continuationSeparator/>
      </w:r>
    </w:p>
  </w:endnote>
  <w:endnote w:type="continuationNotice" w:id="1">
    <w:p w14:paraId="799C3455" w14:textId="77777777" w:rsidR="004D11B5" w:rsidRDefault="004D1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147336"/>
      <w:docPartObj>
        <w:docPartGallery w:val="Page Numbers (Bottom of Page)"/>
        <w:docPartUnique/>
      </w:docPartObj>
    </w:sdtPr>
    <w:sdtContent>
      <w:p w14:paraId="3A332DB0" w14:textId="67B2086D" w:rsidR="00A76E36" w:rsidRDefault="00A76E36">
        <w:pPr>
          <w:pStyle w:val="Footer"/>
          <w:jc w:val="right"/>
        </w:pPr>
        <w:r>
          <w:t xml:space="preserve"> </w:t>
        </w:r>
      </w:p>
    </w:sdtContent>
  </w:sdt>
  <w:p w14:paraId="56D0C460" w14:textId="77777777" w:rsidR="00A76E36" w:rsidRDefault="00A7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82645679"/>
      <w:docPartObj>
        <w:docPartGallery w:val="Page Numbers (Bottom of Page)"/>
        <w:docPartUnique/>
      </w:docPartObj>
    </w:sdtPr>
    <w:sdtContent>
      <w:p w14:paraId="1C7A30D5" w14:textId="7CEDC547" w:rsidR="00A76E36" w:rsidRPr="00A76E36" w:rsidRDefault="00A76E36" w:rsidP="00A76E36">
        <w:pPr>
          <w:pStyle w:val="Footer"/>
          <w:pBdr>
            <w:top w:val="single" w:sz="4" w:space="1" w:color="auto"/>
          </w:pBdr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Office of the Cabinet’s Quarterly Performance Reporting Template</w:t>
        </w:r>
        <w:r>
          <w:rPr>
            <w:rFonts w:ascii="Times New Roman" w:hAnsi="Times New Roman" w:cs="Times New Roman"/>
          </w:rPr>
          <w:tab/>
        </w:r>
        <w:r w:rsidRPr="00A76E36">
          <w:rPr>
            <w:rFonts w:ascii="Times New Roman" w:hAnsi="Times New Roman" w:cs="Times New Roman"/>
          </w:rPr>
          <w:t xml:space="preserve">Page | </w:t>
        </w:r>
        <w:r w:rsidRPr="00A76E36">
          <w:rPr>
            <w:rFonts w:ascii="Times New Roman" w:hAnsi="Times New Roman" w:cs="Times New Roman"/>
          </w:rPr>
          <w:fldChar w:fldCharType="begin"/>
        </w:r>
        <w:r w:rsidRPr="00A76E36">
          <w:rPr>
            <w:rFonts w:ascii="Times New Roman" w:hAnsi="Times New Roman" w:cs="Times New Roman"/>
          </w:rPr>
          <w:instrText xml:space="preserve"> PAGE   \* MERGEFORMAT </w:instrText>
        </w:r>
        <w:r w:rsidRPr="00A76E36">
          <w:rPr>
            <w:rFonts w:ascii="Times New Roman" w:hAnsi="Times New Roman" w:cs="Times New Roman"/>
          </w:rPr>
          <w:fldChar w:fldCharType="separate"/>
        </w:r>
        <w:r w:rsidRPr="00A76E36">
          <w:rPr>
            <w:rFonts w:ascii="Times New Roman" w:hAnsi="Times New Roman" w:cs="Times New Roman"/>
            <w:noProof/>
          </w:rPr>
          <w:t>2</w:t>
        </w:r>
        <w:r w:rsidRPr="00A76E36">
          <w:rPr>
            <w:rFonts w:ascii="Times New Roman" w:hAnsi="Times New Roman" w:cs="Times New Roman"/>
            <w:noProof/>
          </w:rPr>
          <w:fldChar w:fldCharType="end"/>
        </w:r>
        <w:r w:rsidRPr="00A76E36">
          <w:rPr>
            <w:rFonts w:ascii="Times New Roman" w:hAnsi="Times New Roman" w:cs="Times New Roman"/>
          </w:rPr>
          <w:t xml:space="preserve"> </w:t>
        </w:r>
      </w:p>
    </w:sdtContent>
  </w:sdt>
  <w:p w14:paraId="36F539AE" w14:textId="600EFA16" w:rsidR="00A76E36" w:rsidRPr="00321C78" w:rsidRDefault="00A23EFC">
    <w:pPr>
      <w:pStyle w:val="Footer"/>
      <w:rPr>
        <w:rFonts w:ascii="Times New Roman" w:hAnsi="Times New Roman" w:cs="Times New Roman"/>
      </w:rPr>
    </w:pPr>
    <w:r w:rsidRPr="00321C78">
      <w:rPr>
        <w:rFonts w:ascii="Times New Roman" w:hAnsi="Times New Roman" w:cs="Times New Roman"/>
      </w:rPr>
      <w:t>[Enter Report Date</w:t>
    </w:r>
    <w:r w:rsidR="00321C78" w:rsidRPr="00321C78">
      <w:rPr>
        <w:rFonts w:ascii="Times New Roman" w:hAnsi="Times New Roman" w:cs="Times New Roman"/>
      </w:rPr>
      <w:t xml:space="preserve"> in format: </w:t>
    </w:r>
    <w:r w:rsidR="005B174E">
      <w:rPr>
        <w:rFonts w:ascii="Times New Roman" w:hAnsi="Times New Roman" w:cs="Times New Roman"/>
      </w:rPr>
      <w:t>July</w:t>
    </w:r>
    <w:r w:rsidR="00321C78" w:rsidRPr="00321C78">
      <w:rPr>
        <w:rFonts w:ascii="Times New Roman" w:hAnsi="Times New Roman" w:cs="Times New Roman"/>
      </w:rPr>
      <w:t xml:space="preserve"> </w:t>
    </w:r>
    <w:r w:rsidR="005B174E">
      <w:rPr>
        <w:rFonts w:ascii="Times New Roman" w:hAnsi="Times New Roman" w:cs="Times New Roman"/>
      </w:rPr>
      <w:t>20</w:t>
    </w:r>
    <w:r w:rsidR="00321C78" w:rsidRPr="00321C78">
      <w:rPr>
        <w:rFonts w:ascii="Times New Roman" w:hAnsi="Times New Roman" w:cs="Times New Roman"/>
      </w:rPr>
      <w:t>, 202</w:t>
    </w:r>
    <w:r w:rsidR="005B174E">
      <w:rPr>
        <w:rFonts w:ascii="Times New Roman" w:hAnsi="Times New Roman" w:cs="Times New Roman"/>
      </w:rPr>
      <w:t>6</w:t>
    </w:r>
    <w:r w:rsidR="00321C78" w:rsidRPr="00321C78">
      <w:rPr>
        <w:rFonts w:ascii="Times New Roman" w:hAnsi="Times New Roman" w:cs="Times New Roman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F9B6" w14:textId="77777777" w:rsidR="004D11B5" w:rsidRDefault="004D11B5" w:rsidP="00CC7DA2">
      <w:pPr>
        <w:spacing w:after="0" w:line="240" w:lineRule="auto"/>
      </w:pPr>
      <w:r>
        <w:separator/>
      </w:r>
    </w:p>
  </w:footnote>
  <w:footnote w:type="continuationSeparator" w:id="0">
    <w:p w14:paraId="51B5D138" w14:textId="77777777" w:rsidR="004D11B5" w:rsidRDefault="004D11B5" w:rsidP="00CC7DA2">
      <w:pPr>
        <w:spacing w:after="0" w:line="240" w:lineRule="auto"/>
      </w:pPr>
      <w:r>
        <w:continuationSeparator/>
      </w:r>
    </w:p>
  </w:footnote>
  <w:footnote w:type="continuationNotice" w:id="1">
    <w:p w14:paraId="6A9A80EB" w14:textId="77777777" w:rsidR="004D11B5" w:rsidRDefault="004D1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1779" w14:textId="089403D6" w:rsidR="00A76E36" w:rsidRPr="00A76E36" w:rsidRDefault="00AD5207" w:rsidP="00A76E36">
    <w:pPr>
      <w:pStyle w:val="Header"/>
      <w:jc w:val="right"/>
      <w:rPr>
        <w:rFonts w:ascii="Times New Roman" w:hAnsi="Times New Roman" w:cs="Times New Roman"/>
        <w:i/>
        <w:iCs/>
        <w:lang w:val="en-US"/>
      </w:rPr>
    </w:pPr>
    <w:r>
      <w:rPr>
        <w:rFonts w:ascii="Times New Roman" w:hAnsi="Times New Roman" w:cs="Times New Roman"/>
        <w:i/>
        <w:iCs/>
        <w:lang w:val="en-US"/>
      </w:rPr>
      <w:t>[Enter name of Ministry]</w:t>
    </w:r>
  </w:p>
  <w:p w14:paraId="3A2004B0" w14:textId="7A098A1A" w:rsidR="00A76E36" w:rsidRPr="00A76E36" w:rsidRDefault="008F16B2" w:rsidP="00A76E36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i/>
        <w:iCs/>
        <w:lang w:val="en-US"/>
      </w:rPr>
    </w:pPr>
    <w:r>
      <w:rPr>
        <w:rFonts w:ascii="Times New Roman" w:hAnsi="Times New Roman" w:cs="Times New Roman"/>
        <w:i/>
        <w:iCs/>
        <w:lang w:val="en-US"/>
      </w:rPr>
      <w:t>First</w:t>
    </w:r>
    <w:r w:rsidR="00A76E36" w:rsidRPr="00A76E36">
      <w:rPr>
        <w:rFonts w:ascii="Times New Roman" w:hAnsi="Times New Roman" w:cs="Times New Roman"/>
        <w:i/>
        <w:iCs/>
        <w:lang w:val="en-US"/>
      </w:rPr>
      <w:t xml:space="preserve"> Quarter Performance Report for the 202</w:t>
    </w:r>
    <w:r w:rsidR="00DA7552">
      <w:rPr>
        <w:rFonts w:ascii="Times New Roman" w:hAnsi="Times New Roman" w:cs="Times New Roman"/>
        <w:i/>
        <w:iCs/>
        <w:lang w:val="en-US"/>
      </w:rPr>
      <w:t>6</w:t>
    </w:r>
    <w:r w:rsidR="00A76E36" w:rsidRPr="00A76E36">
      <w:rPr>
        <w:rFonts w:ascii="Times New Roman" w:hAnsi="Times New Roman" w:cs="Times New Roman"/>
        <w:i/>
        <w:iCs/>
        <w:lang w:val="en-US"/>
      </w:rPr>
      <w:t>/2</w:t>
    </w:r>
    <w:r w:rsidR="00DA7552">
      <w:rPr>
        <w:rFonts w:ascii="Times New Roman" w:hAnsi="Times New Roman" w:cs="Times New Roman"/>
        <w:i/>
        <w:iCs/>
        <w:lang w:val="en-US"/>
      </w:rPr>
      <w:t>7</w:t>
    </w:r>
    <w:r w:rsidR="00A76E36" w:rsidRPr="00A76E36">
      <w:rPr>
        <w:rFonts w:ascii="Times New Roman" w:hAnsi="Times New Roman" w:cs="Times New Roman"/>
        <w:i/>
        <w:iCs/>
        <w:lang w:val="en-US"/>
      </w:rPr>
      <w:t xml:space="preserve"> FY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A5"/>
    <w:multiLevelType w:val="hybridMultilevel"/>
    <w:tmpl w:val="88105558"/>
    <w:lvl w:ilvl="0" w:tplc="2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5802"/>
    <w:multiLevelType w:val="hybridMultilevel"/>
    <w:tmpl w:val="892CD1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5500D"/>
    <w:multiLevelType w:val="hybridMultilevel"/>
    <w:tmpl w:val="457645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36F28"/>
    <w:multiLevelType w:val="hybridMultilevel"/>
    <w:tmpl w:val="4B28D49A"/>
    <w:lvl w:ilvl="0" w:tplc="20090019">
      <w:start w:val="1"/>
      <w:numFmt w:val="low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3F51"/>
    <w:multiLevelType w:val="hybridMultilevel"/>
    <w:tmpl w:val="8D685FB8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254C"/>
    <w:multiLevelType w:val="hybridMultilevel"/>
    <w:tmpl w:val="16D8D49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4C29"/>
    <w:multiLevelType w:val="hybridMultilevel"/>
    <w:tmpl w:val="ED0A4CE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014D5"/>
    <w:multiLevelType w:val="hybridMultilevel"/>
    <w:tmpl w:val="EC340B2E"/>
    <w:lvl w:ilvl="0" w:tplc="A140A164">
      <w:start w:val="1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5034"/>
    <w:multiLevelType w:val="hybridMultilevel"/>
    <w:tmpl w:val="4FA0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D1CA7"/>
    <w:multiLevelType w:val="hybridMultilevel"/>
    <w:tmpl w:val="82BE4D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71EF5"/>
    <w:multiLevelType w:val="hybridMultilevel"/>
    <w:tmpl w:val="A936F5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536BA"/>
    <w:multiLevelType w:val="hybridMultilevel"/>
    <w:tmpl w:val="63808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C77C6"/>
    <w:multiLevelType w:val="hybridMultilevel"/>
    <w:tmpl w:val="A936F5CC"/>
    <w:lvl w:ilvl="0" w:tplc="2009000F">
      <w:start w:val="1"/>
      <w:numFmt w:val="decimal"/>
      <w:lvlText w:val="%1."/>
      <w:lvlJc w:val="left"/>
      <w:pPr>
        <w:ind w:left="360" w:hanging="360"/>
      </w:p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5956C5"/>
    <w:multiLevelType w:val="hybridMultilevel"/>
    <w:tmpl w:val="E9B45370"/>
    <w:lvl w:ilvl="0" w:tplc="FFFFFFFF">
      <w:start w:val="1"/>
      <w:numFmt w:val="decimal"/>
      <w:lvlText w:val="%1."/>
      <w:lvlJc w:val="left"/>
      <w:pPr>
        <w:ind w:left="1542" w:hanging="360"/>
      </w:pPr>
    </w:lvl>
    <w:lvl w:ilvl="1" w:tplc="FFFFFFFF" w:tentative="1">
      <w:start w:val="1"/>
      <w:numFmt w:val="lowerLetter"/>
      <w:lvlText w:val="%2."/>
      <w:lvlJc w:val="left"/>
      <w:pPr>
        <w:ind w:left="2262" w:hanging="360"/>
      </w:pPr>
    </w:lvl>
    <w:lvl w:ilvl="2" w:tplc="FFFFFFFF" w:tentative="1">
      <w:start w:val="1"/>
      <w:numFmt w:val="lowerRoman"/>
      <w:lvlText w:val="%3."/>
      <w:lvlJc w:val="right"/>
      <w:pPr>
        <w:ind w:left="2982" w:hanging="180"/>
      </w:pPr>
    </w:lvl>
    <w:lvl w:ilvl="3" w:tplc="FFFFFFFF" w:tentative="1">
      <w:start w:val="1"/>
      <w:numFmt w:val="decimal"/>
      <w:lvlText w:val="%4."/>
      <w:lvlJc w:val="left"/>
      <w:pPr>
        <w:ind w:left="3702" w:hanging="360"/>
      </w:pPr>
    </w:lvl>
    <w:lvl w:ilvl="4" w:tplc="FFFFFFFF" w:tentative="1">
      <w:start w:val="1"/>
      <w:numFmt w:val="lowerLetter"/>
      <w:lvlText w:val="%5."/>
      <w:lvlJc w:val="left"/>
      <w:pPr>
        <w:ind w:left="4422" w:hanging="360"/>
      </w:pPr>
    </w:lvl>
    <w:lvl w:ilvl="5" w:tplc="FFFFFFFF" w:tentative="1">
      <w:start w:val="1"/>
      <w:numFmt w:val="lowerRoman"/>
      <w:lvlText w:val="%6."/>
      <w:lvlJc w:val="right"/>
      <w:pPr>
        <w:ind w:left="5142" w:hanging="180"/>
      </w:pPr>
    </w:lvl>
    <w:lvl w:ilvl="6" w:tplc="FFFFFFFF" w:tentative="1">
      <w:start w:val="1"/>
      <w:numFmt w:val="decimal"/>
      <w:lvlText w:val="%7."/>
      <w:lvlJc w:val="left"/>
      <w:pPr>
        <w:ind w:left="5862" w:hanging="360"/>
      </w:pPr>
    </w:lvl>
    <w:lvl w:ilvl="7" w:tplc="FFFFFFFF" w:tentative="1">
      <w:start w:val="1"/>
      <w:numFmt w:val="lowerLetter"/>
      <w:lvlText w:val="%8."/>
      <w:lvlJc w:val="left"/>
      <w:pPr>
        <w:ind w:left="6582" w:hanging="360"/>
      </w:pPr>
    </w:lvl>
    <w:lvl w:ilvl="8" w:tplc="FFFFFFFF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4" w15:restartNumberingAfterBreak="0">
    <w:nsid w:val="77170D61"/>
    <w:multiLevelType w:val="hybridMultilevel"/>
    <w:tmpl w:val="4FA0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F23055"/>
    <w:multiLevelType w:val="hybridMultilevel"/>
    <w:tmpl w:val="DA66214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326">
    <w:abstractNumId w:val="4"/>
  </w:num>
  <w:num w:numId="2" w16cid:durableId="128479285">
    <w:abstractNumId w:val="15"/>
  </w:num>
  <w:num w:numId="3" w16cid:durableId="123355410">
    <w:abstractNumId w:val="5"/>
  </w:num>
  <w:num w:numId="4" w16cid:durableId="1767843310">
    <w:abstractNumId w:val="12"/>
  </w:num>
  <w:num w:numId="5" w16cid:durableId="819926674">
    <w:abstractNumId w:val="3"/>
  </w:num>
  <w:num w:numId="6" w16cid:durableId="2143694538">
    <w:abstractNumId w:val="6"/>
  </w:num>
  <w:num w:numId="7" w16cid:durableId="2074156926">
    <w:abstractNumId w:val="1"/>
  </w:num>
  <w:num w:numId="8" w16cid:durableId="1028144186">
    <w:abstractNumId w:val="0"/>
  </w:num>
  <w:num w:numId="9" w16cid:durableId="1329863247">
    <w:abstractNumId w:val="10"/>
  </w:num>
  <w:num w:numId="10" w16cid:durableId="1458181976">
    <w:abstractNumId w:val="9"/>
  </w:num>
  <w:num w:numId="11" w16cid:durableId="163476849">
    <w:abstractNumId w:val="13"/>
  </w:num>
  <w:num w:numId="12" w16cid:durableId="1087917750">
    <w:abstractNumId w:val="2"/>
  </w:num>
  <w:num w:numId="13" w16cid:durableId="727531681">
    <w:abstractNumId w:val="11"/>
  </w:num>
  <w:num w:numId="14" w16cid:durableId="98109797">
    <w:abstractNumId w:val="14"/>
  </w:num>
  <w:num w:numId="15" w16cid:durableId="339626446">
    <w:abstractNumId w:val="8"/>
  </w:num>
  <w:num w:numId="16" w16cid:durableId="32273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09"/>
    <w:rsid w:val="00010A63"/>
    <w:rsid w:val="00014AF7"/>
    <w:rsid w:val="00016393"/>
    <w:rsid w:val="00017563"/>
    <w:rsid w:val="00017EC7"/>
    <w:rsid w:val="000209CE"/>
    <w:rsid w:val="00020A02"/>
    <w:rsid w:val="00027207"/>
    <w:rsid w:val="000316AD"/>
    <w:rsid w:val="00037906"/>
    <w:rsid w:val="00041661"/>
    <w:rsid w:val="00042E72"/>
    <w:rsid w:val="0004520C"/>
    <w:rsid w:val="00050CE5"/>
    <w:rsid w:val="00052C3D"/>
    <w:rsid w:val="0005627D"/>
    <w:rsid w:val="00062440"/>
    <w:rsid w:val="00065263"/>
    <w:rsid w:val="00070C88"/>
    <w:rsid w:val="00071298"/>
    <w:rsid w:val="0007175B"/>
    <w:rsid w:val="000728EB"/>
    <w:rsid w:val="00082223"/>
    <w:rsid w:val="0008318A"/>
    <w:rsid w:val="00083291"/>
    <w:rsid w:val="000866F6"/>
    <w:rsid w:val="00086C15"/>
    <w:rsid w:val="00086DF8"/>
    <w:rsid w:val="0008789D"/>
    <w:rsid w:val="00091831"/>
    <w:rsid w:val="00091DD4"/>
    <w:rsid w:val="00094047"/>
    <w:rsid w:val="000A12D1"/>
    <w:rsid w:val="000B103C"/>
    <w:rsid w:val="000B314C"/>
    <w:rsid w:val="000B56F4"/>
    <w:rsid w:val="000B6453"/>
    <w:rsid w:val="000B74AF"/>
    <w:rsid w:val="000C3003"/>
    <w:rsid w:val="000C6F80"/>
    <w:rsid w:val="000D1E94"/>
    <w:rsid w:val="000E3BB9"/>
    <w:rsid w:val="000E5557"/>
    <w:rsid w:val="000F7AEE"/>
    <w:rsid w:val="001005AD"/>
    <w:rsid w:val="00102119"/>
    <w:rsid w:val="00102E28"/>
    <w:rsid w:val="00106146"/>
    <w:rsid w:val="001105E5"/>
    <w:rsid w:val="001142D3"/>
    <w:rsid w:val="00121DEA"/>
    <w:rsid w:val="00125A89"/>
    <w:rsid w:val="00134B85"/>
    <w:rsid w:val="0013509D"/>
    <w:rsid w:val="0014116F"/>
    <w:rsid w:val="00141CD2"/>
    <w:rsid w:val="00146DCF"/>
    <w:rsid w:val="00147E20"/>
    <w:rsid w:val="0015154E"/>
    <w:rsid w:val="0015539A"/>
    <w:rsid w:val="0015541B"/>
    <w:rsid w:val="00156DF7"/>
    <w:rsid w:val="00161A0E"/>
    <w:rsid w:val="00171497"/>
    <w:rsid w:val="00172D82"/>
    <w:rsid w:val="00174CB4"/>
    <w:rsid w:val="0017619E"/>
    <w:rsid w:val="0017793D"/>
    <w:rsid w:val="00180230"/>
    <w:rsid w:val="001869D5"/>
    <w:rsid w:val="00186BAE"/>
    <w:rsid w:val="00190AFD"/>
    <w:rsid w:val="0019374B"/>
    <w:rsid w:val="00195158"/>
    <w:rsid w:val="001A0396"/>
    <w:rsid w:val="001A4519"/>
    <w:rsid w:val="001A7652"/>
    <w:rsid w:val="001B0AE1"/>
    <w:rsid w:val="001B355A"/>
    <w:rsid w:val="001B5DC0"/>
    <w:rsid w:val="001B5EA3"/>
    <w:rsid w:val="001C0DCD"/>
    <w:rsid w:val="001C386F"/>
    <w:rsid w:val="001C4D41"/>
    <w:rsid w:val="001D0530"/>
    <w:rsid w:val="001D0EEE"/>
    <w:rsid w:val="001D3B38"/>
    <w:rsid w:val="001E0076"/>
    <w:rsid w:val="001E0663"/>
    <w:rsid w:val="001E31BC"/>
    <w:rsid w:val="001E4760"/>
    <w:rsid w:val="001E6CB8"/>
    <w:rsid w:val="001F6E31"/>
    <w:rsid w:val="00206AE8"/>
    <w:rsid w:val="00211D04"/>
    <w:rsid w:val="00215751"/>
    <w:rsid w:val="00216DE4"/>
    <w:rsid w:val="00221129"/>
    <w:rsid w:val="002256EE"/>
    <w:rsid w:val="002317B3"/>
    <w:rsid w:val="00244089"/>
    <w:rsid w:val="00252F7A"/>
    <w:rsid w:val="00255BFA"/>
    <w:rsid w:val="0026057C"/>
    <w:rsid w:val="002619E5"/>
    <w:rsid w:val="002622EF"/>
    <w:rsid w:val="002651E7"/>
    <w:rsid w:val="002722D1"/>
    <w:rsid w:val="00277FB9"/>
    <w:rsid w:val="0028386A"/>
    <w:rsid w:val="00284010"/>
    <w:rsid w:val="002858BC"/>
    <w:rsid w:val="00287406"/>
    <w:rsid w:val="002934D8"/>
    <w:rsid w:val="00293FD5"/>
    <w:rsid w:val="0029545D"/>
    <w:rsid w:val="00295B42"/>
    <w:rsid w:val="002A15CE"/>
    <w:rsid w:val="002A170B"/>
    <w:rsid w:val="002A495B"/>
    <w:rsid w:val="002A4C1A"/>
    <w:rsid w:val="002B0571"/>
    <w:rsid w:val="002B1594"/>
    <w:rsid w:val="002B44C9"/>
    <w:rsid w:val="002C1B9A"/>
    <w:rsid w:val="002C20BA"/>
    <w:rsid w:val="002C3479"/>
    <w:rsid w:val="002C3AD4"/>
    <w:rsid w:val="002D075D"/>
    <w:rsid w:val="002D19A4"/>
    <w:rsid w:val="002D7C82"/>
    <w:rsid w:val="002E4815"/>
    <w:rsid w:val="002E4F78"/>
    <w:rsid w:val="003054A8"/>
    <w:rsid w:val="00306A92"/>
    <w:rsid w:val="00310218"/>
    <w:rsid w:val="0031030D"/>
    <w:rsid w:val="003126E4"/>
    <w:rsid w:val="00320999"/>
    <w:rsid w:val="00321C78"/>
    <w:rsid w:val="003248EF"/>
    <w:rsid w:val="0032502D"/>
    <w:rsid w:val="00340337"/>
    <w:rsid w:val="0035104F"/>
    <w:rsid w:val="003523A1"/>
    <w:rsid w:val="00360654"/>
    <w:rsid w:val="0036088D"/>
    <w:rsid w:val="00360D25"/>
    <w:rsid w:val="00362DCD"/>
    <w:rsid w:val="00372ED7"/>
    <w:rsid w:val="00373AF7"/>
    <w:rsid w:val="00376675"/>
    <w:rsid w:val="00377DDB"/>
    <w:rsid w:val="003848E5"/>
    <w:rsid w:val="003916D8"/>
    <w:rsid w:val="003A0DE8"/>
    <w:rsid w:val="003A53A0"/>
    <w:rsid w:val="003A6337"/>
    <w:rsid w:val="003B23D2"/>
    <w:rsid w:val="003B67CD"/>
    <w:rsid w:val="003C1D13"/>
    <w:rsid w:val="003C3DA5"/>
    <w:rsid w:val="003C4340"/>
    <w:rsid w:val="003D00C3"/>
    <w:rsid w:val="003E2B5F"/>
    <w:rsid w:val="003E6F08"/>
    <w:rsid w:val="003E7454"/>
    <w:rsid w:val="003F0901"/>
    <w:rsid w:val="003F2F0B"/>
    <w:rsid w:val="003F6575"/>
    <w:rsid w:val="0040015F"/>
    <w:rsid w:val="004059AE"/>
    <w:rsid w:val="004107C4"/>
    <w:rsid w:val="004118D2"/>
    <w:rsid w:val="00414B97"/>
    <w:rsid w:val="00420ABB"/>
    <w:rsid w:val="00425DE6"/>
    <w:rsid w:val="00427657"/>
    <w:rsid w:val="00430CF5"/>
    <w:rsid w:val="004316ED"/>
    <w:rsid w:val="004325D6"/>
    <w:rsid w:val="0043709D"/>
    <w:rsid w:val="00441061"/>
    <w:rsid w:val="004466BC"/>
    <w:rsid w:val="00455CE4"/>
    <w:rsid w:val="00457617"/>
    <w:rsid w:val="00460D68"/>
    <w:rsid w:val="00461C91"/>
    <w:rsid w:val="00463AF3"/>
    <w:rsid w:val="00465A4E"/>
    <w:rsid w:val="004679BF"/>
    <w:rsid w:val="004726B0"/>
    <w:rsid w:val="00480D2B"/>
    <w:rsid w:val="0048193C"/>
    <w:rsid w:val="004828A7"/>
    <w:rsid w:val="0048641F"/>
    <w:rsid w:val="00486E3C"/>
    <w:rsid w:val="00491EF0"/>
    <w:rsid w:val="00492EA1"/>
    <w:rsid w:val="00497152"/>
    <w:rsid w:val="004A1CF8"/>
    <w:rsid w:val="004B5754"/>
    <w:rsid w:val="004B63AB"/>
    <w:rsid w:val="004B7B15"/>
    <w:rsid w:val="004C0EF3"/>
    <w:rsid w:val="004C11A4"/>
    <w:rsid w:val="004C4423"/>
    <w:rsid w:val="004D11B5"/>
    <w:rsid w:val="004D67ED"/>
    <w:rsid w:val="004E13AE"/>
    <w:rsid w:val="004F5C5F"/>
    <w:rsid w:val="00504771"/>
    <w:rsid w:val="005059CB"/>
    <w:rsid w:val="00507036"/>
    <w:rsid w:val="005077CC"/>
    <w:rsid w:val="00507DF1"/>
    <w:rsid w:val="00512890"/>
    <w:rsid w:val="005204AC"/>
    <w:rsid w:val="00521129"/>
    <w:rsid w:val="00521C6D"/>
    <w:rsid w:val="00521DCC"/>
    <w:rsid w:val="0052329A"/>
    <w:rsid w:val="00524C03"/>
    <w:rsid w:val="005265DA"/>
    <w:rsid w:val="005304ED"/>
    <w:rsid w:val="005345F4"/>
    <w:rsid w:val="0054117F"/>
    <w:rsid w:val="00543851"/>
    <w:rsid w:val="00545FC0"/>
    <w:rsid w:val="00553E73"/>
    <w:rsid w:val="00555AC9"/>
    <w:rsid w:val="0055742F"/>
    <w:rsid w:val="00563E37"/>
    <w:rsid w:val="00565DB6"/>
    <w:rsid w:val="00571FBA"/>
    <w:rsid w:val="0057443E"/>
    <w:rsid w:val="00581238"/>
    <w:rsid w:val="005839F2"/>
    <w:rsid w:val="00583B80"/>
    <w:rsid w:val="0058542C"/>
    <w:rsid w:val="00586127"/>
    <w:rsid w:val="00587437"/>
    <w:rsid w:val="00595D97"/>
    <w:rsid w:val="00595E1F"/>
    <w:rsid w:val="005A0D5D"/>
    <w:rsid w:val="005A49F5"/>
    <w:rsid w:val="005A53D9"/>
    <w:rsid w:val="005A56E9"/>
    <w:rsid w:val="005B16AB"/>
    <w:rsid w:val="005B174E"/>
    <w:rsid w:val="005B1826"/>
    <w:rsid w:val="005B2E56"/>
    <w:rsid w:val="005B5689"/>
    <w:rsid w:val="005B71E9"/>
    <w:rsid w:val="005C559A"/>
    <w:rsid w:val="005C658B"/>
    <w:rsid w:val="005D233E"/>
    <w:rsid w:val="005F2BDA"/>
    <w:rsid w:val="005F6D0D"/>
    <w:rsid w:val="005F72C0"/>
    <w:rsid w:val="00602880"/>
    <w:rsid w:val="00606256"/>
    <w:rsid w:val="00612323"/>
    <w:rsid w:val="006132EA"/>
    <w:rsid w:val="00616791"/>
    <w:rsid w:val="00616930"/>
    <w:rsid w:val="00617BAA"/>
    <w:rsid w:val="00620C69"/>
    <w:rsid w:val="006212F5"/>
    <w:rsid w:val="00627F1A"/>
    <w:rsid w:val="00631352"/>
    <w:rsid w:val="00632BD2"/>
    <w:rsid w:val="006348F0"/>
    <w:rsid w:val="00636194"/>
    <w:rsid w:val="00637378"/>
    <w:rsid w:val="0063750A"/>
    <w:rsid w:val="0064212E"/>
    <w:rsid w:val="00642420"/>
    <w:rsid w:val="00644EF9"/>
    <w:rsid w:val="00650165"/>
    <w:rsid w:val="0065125B"/>
    <w:rsid w:val="00652DF2"/>
    <w:rsid w:val="00656491"/>
    <w:rsid w:val="00656DBF"/>
    <w:rsid w:val="006639B4"/>
    <w:rsid w:val="006647E5"/>
    <w:rsid w:val="006657DC"/>
    <w:rsid w:val="006676B8"/>
    <w:rsid w:val="00670BA6"/>
    <w:rsid w:val="00670C86"/>
    <w:rsid w:val="00672E7F"/>
    <w:rsid w:val="006747F7"/>
    <w:rsid w:val="00675B09"/>
    <w:rsid w:val="006909C5"/>
    <w:rsid w:val="0069609A"/>
    <w:rsid w:val="006A37E5"/>
    <w:rsid w:val="006B033A"/>
    <w:rsid w:val="006B36B4"/>
    <w:rsid w:val="006B3715"/>
    <w:rsid w:val="006C58ED"/>
    <w:rsid w:val="006D2003"/>
    <w:rsid w:val="006D3949"/>
    <w:rsid w:val="006D3C47"/>
    <w:rsid w:val="006D555E"/>
    <w:rsid w:val="006D7004"/>
    <w:rsid w:val="006E11FA"/>
    <w:rsid w:val="006E1721"/>
    <w:rsid w:val="006F2873"/>
    <w:rsid w:val="006F6035"/>
    <w:rsid w:val="006F6FBB"/>
    <w:rsid w:val="00703206"/>
    <w:rsid w:val="00705440"/>
    <w:rsid w:val="00705726"/>
    <w:rsid w:val="00705A1D"/>
    <w:rsid w:val="007106F8"/>
    <w:rsid w:val="00715E7E"/>
    <w:rsid w:val="00715ECB"/>
    <w:rsid w:val="007167AA"/>
    <w:rsid w:val="00716A20"/>
    <w:rsid w:val="007179F0"/>
    <w:rsid w:val="007226A9"/>
    <w:rsid w:val="007241AB"/>
    <w:rsid w:val="0073088D"/>
    <w:rsid w:val="00734319"/>
    <w:rsid w:val="00734B88"/>
    <w:rsid w:val="0073645E"/>
    <w:rsid w:val="007401FB"/>
    <w:rsid w:val="007410FA"/>
    <w:rsid w:val="00741807"/>
    <w:rsid w:val="00742A34"/>
    <w:rsid w:val="00750A8C"/>
    <w:rsid w:val="00752A50"/>
    <w:rsid w:val="0075476D"/>
    <w:rsid w:val="00757E8D"/>
    <w:rsid w:val="00762086"/>
    <w:rsid w:val="00781EEF"/>
    <w:rsid w:val="00782267"/>
    <w:rsid w:val="00783129"/>
    <w:rsid w:val="00787679"/>
    <w:rsid w:val="00787C73"/>
    <w:rsid w:val="00791D06"/>
    <w:rsid w:val="007939AC"/>
    <w:rsid w:val="007941D3"/>
    <w:rsid w:val="00797E43"/>
    <w:rsid w:val="007A6432"/>
    <w:rsid w:val="007B5715"/>
    <w:rsid w:val="007B5B54"/>
    <w:rsid w:val="007B7319"/>
    <w:rsid w:val="007C2E6B"/>
    <w:rsid w:val="007C39D2"/>
    <w:rsid w:val="007D11B9"/>
    <w:rsid w:val="007D7B55"/>
    <w:rsid w:val="007E0BED"/>
    <w:rsid w:val="007E39D8"/>
    <w:rsid w:val="007E46D0"/>
    <w:rsid w:val="007E4D7C"/>
    <w:rsid w:val="007E7A8C"/>
    <w:rsid w:val="008029AC"/>
    <w:rsid w:val="0080609F"/>
    <w:rsid w:val="00806F36"/>
    <w:rsid w:val="00807658"/>
    <w:rsid w:val="00810B11"/>
    <w:rsid w:val="008116D1"/>
    <w:rsid w:val="008174E6"/>
    <w:rsid w:val="0082251D"/>
    <w:rsid w:val="00825AA2"/>
    <w:rsid w:val="0083199E"/>
    <w:rsid w:val="00835775"/>
    <w:rsid w:val="00840D82"/>
    <w:rsid w:val="00842B7C"/>
    <w:rsid w:val="00845A01"/>
    <w:rsid w:val="00845E96"/>
    <w:rsid w:val="00850148"/>
    <w:rsid w:val="00851EFA"/>
    <w:rsid w:val="00854C1A"/>
    <w:rsid w:val="00854EF0"/>
    <w:rsid w:val="00861433"/>
    <w:rsid w:val="0086335C"/>
    <w:rsid w:val="00864D8F"/>
    <w:rsid w:val="00866EE7"/>
    <w:rsid w:val="008712C0"/>
    <w:rsid w:val="008714BB"/>
    <w:rsid w:val="008750B0"/>
    <w:rsid w:val="00876F64"/>
    <w:rsid w:val="00883749"/>
    <w:rsid w:val="00886B8D"/>
    <w:rsid w:val="00890AFB"/>
    <w:rsid w:val="0089129B"/>
    <w:rsid w:val="0089143F"/>
    <w:rsid w:val="00894FBD"/>
    <w:rsid w:val="008A2801"/>
    <w:rsid w:val="008A6943"/>
    <w:rsid w:val="008A7C38"/>
    <w:rsid w:val="008B6782"/>
    <w:rsid w:val="008C001E"/>
    <w:rsid w:val="008D17C1"/>
    <w:rsid w:val="008D3996"/>
    <w:rsid w:val="008E0087"/>
    <w:rsid w:val="008E369A"/>
    <w:rsid w:val="008E6DE6"/>
    <w:rsid w:val="008F16B2"/>
    <w:rsid w:val="008F2F39"/>
    <w:rsid w:val="00903E1E"/>
    <w:rsid w:val="00906F0B"/>
    <w:rsid w:val="0091332F"/>
    <w:rsid w:val="00920B08"/>
    <w:rsid w:val="00920C8D"/>
    <w:rsid w:val="009220DD"/>
    <w:rsid w:val="00922558"/>
    <w:rsid w:val="00924B6D"/>
    <w:rsid w:val="00924F92"/>
    <w:rsid w:val="00934D72"/>
    <w:rsid w:val="00937AB3"/>
    <w:rsid w:val="00940C2C"/>
    <w:rsid w:val="00945D94"/>
    <w:rsid w:val="009544B2"/>
    <w:rsid w:val="00954F83"/>
    <w:rsid w:val="0096137E"/>
    <w:rsid w:val="00962D60"/>
    <w:rsid w:val="00966447"/>
    <w:rsid w:val="00975706"/>
    <w:rsid w:val="00981122"/>
    <w:rsid w:val="00981435"/>
    <w:rsid w:val="0098621E"/>
    <w:rsid w:val="0099077F"/>
    <w:rsid w:val="00990870"/>
    <w:rsid w:val="00993895"/>
    <w:rsid w:val="00997068"/>
    <w:rsid w:val="009B299C"/>
    <w:rsid w:val="009B3EAB"/>
    <w:rsid w:val="009B6046"/>
    <w:rsid w:val="009B63EE"/>
    <w:rsid w:val="009B6CCF"/>
    <w:rsid w:val="009B707D"/>
    <w:rsid w:val="009C3AE6"/>
    <w:rsid w:val="009C3D8B"/>
    <w:rsid w:val="009C49AB"/>
    <w:rsid w:val="009C4B58"/>
    <w:rsid w:val="009D017A"/>
    <w:rsid w:val="009E4AC3"/>
    <w:rsid w:val="009F22C5"/>
    <w:rsid w:val="009F3EDB"/>
    <w:rsid w:val="009F4437"/>
    <w:rsid w:val="00A04CE4"/>
    <w:rsid w:val="00A067EF"/>
    <w:rsid w:val="00A10B1F"/>
    <w:rsid w:val="00A11AF8"/>
    <w:rsid w:val="00A13494"/>
    <w:rsid w:val="00A15344"/>
    <w:rsid w:val="00A215AA"/>
    <w:rsid w:val="00A23EFC"/>
    <w:rsid w:val="00A26F28"/>
    <w:rsid w:val="00A306D5"/>
    <w:rsid w:val="00A32806"/>
    <w:rsid w:val="00A41A09"/>
    <w:rsid w:val="00A43184"/>
    <w:rsid w:val="00A43BF2"/>
    <w:rsid w:val="00A440CD"/>
    <w:rsid w:val="00A54063"/>
    <w:rsid w:val="00A61039"/>
    <w:rsid w:val="00A71EB4"/>
    <w:rsid w:val="00A73DE5"/>
    <w:rsid w:val="00A76E36"/>
    <w:rsid w:val="00A91526"/>
    <w:rsid w:val="00A93009"/>
    <w:rsid w:val="00A93F4D"/>
    <w:rsid w:val="00A94D82"/>
    <w:rsid w:val="00A96646"/>
    <w:rsid w:val="00A9703C"/>
    <w:rsid w:val="00AA0760"/>
    <w:rsid w:val="00AB2CDB"/>
    <w:rsid w:val="00AB58D4"/>
    <w:rsid w:val="00AB64ED"/>
    <w:rsid w:val="00AB7C0E"/>
    <w:rsid w:val="00AC2D9E"/>
    <w:rsid w:val="00AC5D90"/>
    <w:rsid w:val="00AD0928"/>
    <w:rsid w:val="00AD0A21"/>
    <w:rsid w:val="00AD32C3"/>
    <w:rsid w:val="00AD3ED4"/>
    <w:rsid w:val="00AD5207"/>
    <w:rsid w:val="00AE679D"/>
    <w:rsid w:val="00AE687F"/>
    <w:rsid w:val="00AF03AC"/>
    <w:rsid w:val="00AF3839"/>
    <w:rsid w:val="00AF6107"/>
    <w:rsid w:val="00AF7C19"/>
    <w:rsid w:val="00B014DD"/>
    <w:rsid w:val="00B03007"/>
    <w:rsid w:val="00B05594"/>
    <w:rsid w:val="00B10B5D"/>
    <w:rsid w:val="00B15902"/>
    <w:rsid w:val="00B25670"/>
    <w:rsid w:val="00B30654"/>
    <w:rsid w:val="00B334FD"/>
    <w:rsid w:val="00B33662"/>
    <w:rsid w:val="00B33735"/>
    <w:rsid w:val="00B34268"/>
    <w:rsid w:val="00B34600"/>
    <w:rsid w:val="00B353C1"/>
    <w:rsid w:val="00B37FA2"/>
    <w:rsid w:val="00B40C2B"/>
    <w:rsid w:val="00B4334A"/>
    <w:rsid w:val="00B43734"/>
    <w:rsid w:val="00B53D50"/>
    <w:rsid w:val="00B54538"/>
    <w:rsid w:val="00B55929"/>
    <w:rsid w:val="00B610B4"/>
    <w:rsid w:val="00B61A02"/>
    <w:rsid w:val="00B64EC0"/>
    <w:rsid w:val="00B655D4"/>
    <w:rsid w:val="00B656A2"/>
    <w:rsid w:val="00B65863"/>
    <w:rsid w:val="00B712CA"/>
    <w:rsid w:val="00B74154"/>
    <w:rsid w:val="00B747B2"/>
    <w:rsid w:val="00B842FD"/>
    <w:rsid w:val="00B856FB"/>
    <w:rsid w:val="00B876DA"/>
    <w:rsid w:val="00B91B71"/>
    <w:rsid w:val="00B97844"/>
    <w:rsid w:val="00B97DC8"/>
    <w:rsid w:val="00BA28DE"/>
    <w:rsid w:val="00BA7F94"/>
    <w:rsid w:val="00BB198F"/>
    <w:rsid w:val="00BB216B"/>
    <w:rsid w:val="00BB2B6F"/>
    <w:rsid w:val="00BB3E19"/>
    <w:rsid w:val="00BB7B48"/>
    <w:rsid w:val="00BB7ECC"/>
    <w:rsid w:val="00BC22AF"/>
    <w:rsid w:val="00BD11F8"/>
    <w:rsid w:val="00BE0624"/>
    <w:rsid w:val="00BE7C0B"/>
    <w:rsid w:val="00BF63D2"/>
    <w:rsid w:val="00BF6B79"/>
    <w:rsid w:val="00C01499"/>
    <w:rsid w:val="00C20D91"/>
    <w:rsid w:val="00C2244C"/>
    <w:rsid w:val="00C25A2E"/>
    <w:rsid w:val="00C301ED"/>
    <w:rsid w:val="00C34234"/>
    <w:rsid w:val="00C41357"/>
    <w:rsid w:val="00C47318"/>
    <w:rsid w:val="00C5039C"/>
    <w:rsid w:val="00C51584"/>
    <w:rsid w:val="00C56652"/>
    <w:rsid w:val="00C65B57"/>
    <w:rsid w:val="00C71D84"/>
    <w:rsid w:val="00C81256"/>
    <w:rsid w:val="00C87D1A"/>
    <w:rsid w:val="00C9474D"/>
    <w:rsid w:val="00C94BAC"/>
    <w:rsid w:val="00CA1022"/>
    <w:rsid w:val="00CA2379"/>
    <w:rsid w:val="00CA2D1F"/>
    <w:rsid w:val="00CB531C"/>
    <w:rsid w:val="00CB6DD8"/>
    <w:rsid w:val="00CC4106"/>
    <w:rsid w:val="00CC7DA2"/>
    <w:rsid w:val="00CD0A45"/>
    <w:rsid w:val="00CE14C4"/>
    <w:rsid w:val="00CE2A67"/>
    <w:rsid w:val="00CE5C1C"/>
    <w:rsid w:val="00CF31EB"/>
    <w:rsid w:val="00D01AAA"/>
    <w:rsid w:val="00D02EF2"/>
    <w:rsid w:val="00D0316F"/>
    <w:rsid w:val="00D07468"/>
    <w:rsid w:val="00D20142"/>
    <w:rsid w:val="00D20601"/>
    <w:rsid w:val="00D20AD3"/>
    <w:rsid w:val="00D20F15"/>
    <w:rsid w:val="00D22765"/>
    <w:rsid w:val="00D236A8"/>
    <w:rsid w:val="00D3149D"/>
    <w:rsid w:val="00D34506"/>
    <w:rsid w:val="00D415DC"/>
    <w:rsid w:val="00D43646"/>
    <w:rsid w:val="00D51FB6"/>
    <w:rsid w:val="00D525DD"/>
    <w:rsid w:val="00D5546E"/>
    <w:rsid w:val="00D555BA"/>
    <w:rsid w:val="00D63839"/>
    <w:rsid w:val="00D6697F"/>
    <w:rsid w:val="00D66F3B"/>
    <w:rsid w:val="00D7300B"/>
    <w:rsid w:val="00D7384C"/>
    <w:rsid w:val="00D748CA"/>
    <w:rsid w:val="00D75459"/>
    <w:rsid w:val="00D75C7F"/>
    <w:rsid w:val="00D75CF1"/>
    <w:rsid w:val="00D8651B"/>
    <w:rsid w:val="00D902F9"/>
    <w:rsid w:val="00D95528"/>
    <w:rsid w:val="00DA1157"/>
    <w:rsid w:val="00DA623C"/>
    <w:rsid w:val="00DA7552"/>
    <w:rsid w:val="00DB083F"/>
    <w:rsid w:val="00DB374B"/>
    <w:rsid w:val="00DB7E3F"/>
    <w:rsid w:val="00DB7F6F"/>
    <w:rsid w:val="00DC3AA6"/>
    <w:rsid w:val="00DC644D"/>
    <w:rsid w:val="00DC6DD2"/>
    <w:rsid w:val="00DD0E1A"/>
    <w:rsid w:val="00DD1CFB"/>
    <w:rsid w:val="00DD5913"/>
    <w:rsid w:val="00DD5ECE"/>
    <w:rsid w:val="00DE3236"/>
    <w:rsid w:val="00DE4428"/>
    <w:rsid w:val="00DE697A"/>
    <w:rsid w:val="00DF4FD5"/>
    <w:rsid w:val="00E012C3"/>
    <w:rsid w:val="00E0293A"/>
    <w:rsid w:val="00E04210"/>
    <w:rsid w:val="00E04590"/>
    <w:rsid w:val="00E04914"/>
    <w:rsid w:val="00E0505C"/>
    <w:rsid w:val="00E068ED"/>
    <w:rsid w:val="00E10668"/>
    <w:rsid w:val="00E133F3"/>
    <w:rsid w:val="00E16023"/>
    <w:rsid w:val="00E178A0"/>
    <w:rsid w:val="00E21EB9"/>
    <w:rsid w:val="00E263AB"/>
    <w:rsid w:val="00E3296A"/>
    <w:rsid w:val="00E3402D"/>
    <w:rsid w:val="00E35D4D"/>
    <w:rsid w:val="00E410B1"/>
    <w:rsid w:val="00E423B1"/>
    <w:rsid w:val="00E54093"/>
    <w:rsid w:val="00E56114"/>
    <w:rsid w:val="00E565A9"/>
    <w:rsid w:val="00E5796A"/>
    <w:rsid w:val="00E57B3D"/>
    <w:rsid w:val="00E63014"/>
    <w:rsid w:val="00E67F42"/>
    <w:rsid w:val="00E704FB"/>
    <w:rsid w:val="00E70562"/>
    <w:rsid w:val="00E712AD"/>
    <w:rsid w:val="00E81FE2"/>
    <w:rsid w:val="00E83648"/>
    <w:rsid w:val="00E917DE"/>
    <w:rsid w:val="00E91DC4"/>
    <w:rsid w:val="00E92727"/>
    <w:rsid w:val="00E94369"/>
    <w:rsid w:val="00E9705A"/>
    <w:rsid w:val="00E97AFF"/>
    <w:rsid w:val="00EA22A9"/>
    <w:rsid w:val="00EA30DA"/>
    <w:rsid w:val="00EA77E5"/>
    <w:rsid w:val="00EB004D"/>
    <w:rsid w:val="00EB07E3"/>
    <w:rsid w:val="00EB72A4"/>
    <w:rsid w:val="00EC07B1"/>
    <w:rsid w:val="00EC1682"/>
    <w:rsid w:val="00EC185D"/>
    <w:rsid w:val="00EC1B73"/>
    <w:rsid w:val="00EC3012"/>
    <w:rsid w:val="00EC4C0F"/>
    <w:rsid w:val="00EC7A85"/>
    <w:rsid w:val="00ED35DD"/>
    <w:rsid w:val="00ED4491"/>
    <w:rsid w:val="00ED4A1D"/>
    <w:rsid w:val="00EE435B"/>
    <w:rsid w:val="00EE49BF"/>
    <w:rsid w:val="00EE5D64"/>
    <w:rsid w:val="00EF05E0"/>
    <w:rsid w:val="00F01AF6"/>
    <w:rsid w:val="00F05DBF"/>
    <w:rsid w:val="00F0609E"/>
    <w:rsid w:val="00F10A52"/>
    <w:rsid w:val="00F2277D"/>
    <w:rsid w:val="00F23583"/>
    <w:rsid w:val="00F24864"/>
    <w:rsid w:val="00F2771C"/>
    <w:rsid w:val="00F323F1"/>
    <w:rsid w:val="00F337B4"/>
    <w:rsid w:val="00F34092"/>
    <w:rsid w:val="00F365B5"/>
    <w:rsid w:val="00F42265"/>
    <w:rsid w:val="00F56D3C"/>
    <w:rsid w:val="00F57C80"/>
    <w:rsid w:val="00F628F8"/>
    <w:rsid w:val="00F64F27"/>
    <w:rsid w:val="00F65DF1"/>
    <w:rsid w:val="00F666C1"/>
    <w:rsid w:val="00F66A5F"/>
    <w:rsid w:val="00F73950"/>
    <w:rsid w:val="00F73A92"/>
    <w:rsid w:val="00F759C2"/>
    <w:rsid w:val="00F75CA7"/>
    <w:rsid w:val="00F81E66"/>
    <w:rsid w:val="00F824FF"/>
    <w:rsid w:val="00F82FA9"/>
    <w:rsid w:val="00F83A05"/>
    <w:rsid w:val="00F85C5E"/>
    <w:rsid w:val="00F85CB1"/>
    <w:rsid w:val="00F90F38"/>
    <w:rsid w:val="00F9111F"/>
    <w:rsid w:val="00F93B84"/>
    <w:rsid w:val="00FA5204"/>
    <w:rsid w:val="00FA577A"/>
    <w:rsid w:val="00FA5DDC"/>
    <w:rsid w:val="00FB05EE"/>
    <w:rsid w:val="00FB4676"/>
    <w:rsid w:val="00FB4C92"/>
    <w:rsid w:val="00FC0017"/>
    <w:rsid w:val="00FD1782"/>
    <w:rsid w:val="00FD2A4E"/>
    <w:rsid w:val="00FD6EA8"/>
    <w:rsid w:val="00FE7F43"/>
    <w:rsid w:val="00FF0392"/>
    <w:rsid w:val="00FF1B81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A66F0"/>
  <w15:chartTrackingRefBased/>
  <w15:docId w15:val="{38438475-09B4-4B2F-B6E1-E202C06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1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A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A2"/>
  </w:style>
  <w:style w:type="paragraph" w:styleId="Footer">
    <w:name w:val="footer"/>
    <w:basedOn w:val="Normal"/>
    <w:link w:val="FooterChar"/>
    <w:uiPriority w:val="99"/>
    <w:unhideWhenUsed/>
    <w:rsid w:val="00CC7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A2"/>
  </w:style>
  <w:style w:type="character" w:styleId="Hyperlink">
    <w:name w:val="Hyperlink"/>
    <w:basedOn w:val="DefaultParagraphFont"/>
    <w:uiPriority w:val="99"/>
    <w:unhideWhenUsed/>
    <w:rsid w:val="006B37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71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0D1E94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3135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7C73"/>
    <w:pPr>
      <w:tabs>
        <w:tab w:val="right" w:leader="dot" w:pos="9350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761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JM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Export</a:t>
            </a:r>
            <a:r>
              <a:rPr lang="en-JM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value of agricultural produce</a:t>
            </a:r>
            <a:endParaRPr lang="en-JM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JM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3333FF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2025/26 Q1</c:v>
                </c:pt>
                <c:pt idx="1">
                  <c:v>2025/26 Q2</c:v>
                </c:pt>
                <c:pt idx="2">
                  <c:v>2025/26 Q3</c:v>
                </c:pt>
                <c:pt idx="3">
                  <c:v>2025/26 Q4</c:v>
                </c:pt>
                <c:pt idx="4">
                  <c:v>2026/27 Q1</c:v>
                </c:pt>
                <c:pt idx="5">
                  <c:v>Forecast</c:v>
                </c:pt>
              </c:strCache>
            </c:strRef>
          </c:cat>
          <c:val>
            <c:numRef>
              <c:f>Sheet1!$B$2:$B$7</c:f>
              <c:numCache>
                <c:formatCode>_-"$"* #,##0.0_-;\-"$"* #,##0.0_-;_-"$"* "-"??_-;_-@_-</c:formatCode>
                <c:ptCount val="6"/>
                <c:pt idx="0">
                  <c:v>100.1</c:v>
                </c:pt>
                <c:pt idx="1">
                  <c:v>102.9</c:v>
                </c:pt>
                <c:pt idx="2">
                  <c:v>104.9</c:v>
                </c:pt>
                <c:pt idx="3">
                  <c:v>108.4</c:v>
                </c:pt>
                <c:pt idx="4">
                  <c:v>105.7</c:v>
                </c:pt>
                <c:pt idx="5">
                  <c:v>107.7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9D-45E5-8AB4-23519DF35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986432"/>
        <c:axId val="1619987392"/>
      </c:lineChart>
      <c:catAx>
        <c:axId val="161998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Period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7392"/>
        <c:crosses val="autoZero"/>
        <c:auto val="1"/>
        <c:lblAlgn val="ctr"/>
        <c:lblOffset val="100"/>
        <c:noMultiLvlLbl val="0"/>
      </c:catAx>
      <c:valAx>
        <c:axId val="1619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Export</a:t>
                </a:r>
                <a:r>
                  <a:rPr lang="en-JM" baseline="0"/>
                  <a:t> Value ($Mil)</a:t>
                </a:r>
                <a:endParaRPr lang="en-JM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JM"/>
            </a:p>
          </c:txPr>
        </c:title>
        <c:numFmt formatCode="_-&quot;$&quot;* #,##0.0_-;\-&quot;$&quot;* #,##0.0_-;_-&quot;$&quot;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JM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% of Ministries obtaining</a:t>
            </a:r>
            <a:r>
              <a:rPr lang="en-JM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 quarterly performance score ≥ 65%</a:t>
            </a:r>
            <a:endParaRPr lang="en-JM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JM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3333FF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2025/26 Q1</c:v>
                </c:pt>
                <c:pt idx="1">
                  <c:v>2025/26 Q2</c:v>
                </c:pt>
                <c:pt idx="2">
                  <c:v>2025/26 Q3</c:v>
                </c:pt>
                <c:pt idx="3">
                  <c:v>2025/26 Q4</c:v>
                </c:pt>
                <c:pt idx="4">
                  <c:v>2026/27 Q1</c:v>
                </c:pt>
                <c:pt idx="5">
                  <c:v>Forecast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0.82</c:v>
                </c:pt>
                <c:pt idx="1">
                  <c:v>0.71</c:v>
                </c:pt>
                <c:pt idx="2">
                  <c:v>0.47</c:v>
                </c:pt>
                <c:pt idx="3">
                  <c:v>0.76</c:v>
                </c:pt>
                <c:pt idx="4">
                  <c:v>0.71</c:v>
                </c:pt>
                <c:pt idx="5">
                  <c:v>0.71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2-4E78-AC04-98212F50D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986432"/>
        <c:axId val="1619987392"/>
      </c:lineChart>
      <c:catAx>
        <c:axId val="161998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Period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7392"/>
        <c:crosses val="autoZero"/>
        <c:auto val="1"/>
        <c:lblAlgn val="ctr"/>
        <c:lblOffset val="100"/>
        <c:noMultiLvlLbl val="0"/>
      </c:catAx>
      <c:valAx>
        <c:axId val="1619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% of Ministries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JM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Miles of municpal streets paved/repaired and maintained</a:t>
            </a:r>
            <a:endParaRPr lang="en-JM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JM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3333FF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2025/26 Q1</c:v>
                </c:pt>
                <c:pt idx="1">
                  <c:v>2025/26 Q2</c:v>
                </c:pt>
                <c:pt idx="2">
                  <c:v>2025/26 Q3</c:v>
                </c:pt>
                <c:pt idx="3">
                  <c:v>2025/26 Q4</c:v>
                </c:pt>
                <c:pt idx="4">
                  <c:v>2026/27 Q1</c:v>
                </c:pt>
                <c:pt idx="5">
                  <c:v>Forecast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2200</c:v>
                </c:pt>
                <c:pt idx="1">
                  <c:v>2650</c:v>
                </c:pt>
                <c:pt idx="2">
                  <c:v>4500</c:v>
                </c:pt>
                <c:pt idx="3">
                  <c:v>3200</c:v>
                </c:pt>
                <c:pt idx="4">
                  <c:v>2600</c:v>
                </c:pt>
                <c:pt idx="5">
                  <c:v>3200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31-49BB-99B2-E87A7D6C36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986432"/>
        <c:axId val="1619987392"/>
      </c:lineChart>
      <c:catAx>
        <c:axId val="161998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Period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7392"/>
        <c:crosses val="autoZero"/>
        <c:auto val="1"/>
        <c:lblAlgn val="ctr"/>
        <c:lblOffset val="100"/>
        <c:noMultiLvlLbl val="0"/>
      </c:catAx>
      <c:valAx>
        <c:axId val="1619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Miles of streets paved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JM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National</a:t>
            </a:r>
            <a:r>
              <a:rPr lang="en-JM" sz="14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i</a:t>
            </a:r>
            <a:r>
              <a:rPr lang="en-JM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ncidence of major crimes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3333FF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2025/26 Q1</c:v>
                </c:pt>
                <c:pt idx="1">
                  <c:v>2025/26 Q2</c:v>
                </c:pt>
                <c:pt idx="2">
                  <c:v>2025/26 Q3</c:v>
                </c:pt>
                <c:pt idx="3">
                  <c:v>2025/26 Q4</c:v>
                </c:pt>
                <c:pt idx="4">
                  <c:v>2026/27 Q1</c:v>
                </c:pt>
                <c:pt idx="5">
                  <c:v>Forecast</c:v>
                </c:pt>
              </c:strCache>
            </c:strRef>
          </c:cat>
          <c:val>
            <c:numRef>
              <c:f>Sheet1!$B$2:$B$7</c:f>
              <c:numCache>
                <c:formatCode>0</c:formatCode>
                <c:ptCount val="6"/>
                <c:pt idx="0">
                  <c:v>267</c:v>
                </c:pt>
                <c:pt idx="1">
                  <c:v>425</c:v>
                </c:pt>
                <c:pt idx="2">
                  <c:v>333</c:v>
                </c:pt>
                <c:pt idx="3">
                  <c:v>298</c:v>
                </c:pt>
                <c:pt idx="4">
                  <c:v>362</c:v>
                </c:pt>
                <c:pt idx="5">
                  <c:v>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10-4B4C-9FA5-EE263A0A72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986432"/>
        <c:axId val="1619987392"/>
      </c:lineChart>
      <c:catAx>
        <c:axId val="16199864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Period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7392"/>
        <c:crosses val="autoZero"/>
        <c:auto val="1"/>
        <c:lblAlgn val="ctr"/>
        <c:lblOffset val="100"/>
        <c:noMultiLvlLbl val="0"/>
      </c:catAx>
      <c:valAx>
        <c:axId val="161998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JM"/>
                  <a:t>Incidence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998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ea6f8-180e-492d-8fce-f23dadd79e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95D08660B14BA275B7FFCC53EF2C" ma:contentTypeVersion="18" ma:contentTypeDescription="Create a new document." ma:contentTypeScope="" ma:versionID="b6208b69fc1386f8aa830df6eec28401">
  <xsd:schema xmlns:xsd="http://www.w3.org/2001/XMLSchema" xmlns:xs="http://www.w3.org/2001/XMLSchema" xmlns:p="http://schemas.microsoft.com/office/2006/metadata/properties" xmlns:ns3="da8ea6f8-180e-492d-8fce-f23dadd79e84" xmlns:ns4="66c3a1c0-9712-421e-bbb0-252f5f04f0a3" targetNamespace="http://schemas.microsoft.com/office/2006/metadata/properties" ma:root="true" ma:fieldsID="f288cfa50c5f4a746229ef7728af369c" ns3:_="" ns4:_="">
    <xsd:import namespace="da8ea6f8-180e-492d-8fce-f23dadd79e84"/>
    <xsd:import namespace="66c3a1c0-9712-421e-bbb0-252f5f04f0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ea6f8-180e-492d-8fce-f23dadd79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3a1c0-9712-421e-bbb0-252f5f04f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7C22A-0DC2-4399-8520-702D15D49641}">
  <ds:schemaRefs>
    <ds:schemaRef ds:uri="http://schemas.microsoft.com/office/2006/metadata/properties"/>
    <ds:schemaRef ds:uri="http://schemas.microsoft.com/office/infopath/2007/PartnerControls"/>
    <ds:schemaRef ds:uri="da8ea6f8-180e-492d-8fce-f23dadd79e84"/>
  </ds:schemaRefs>
</ds:datastoreItem>
</file>

<file path=customXml/itemProps2.xml><?xml version="1.0" encoding="utf-8"?>
<ds:datastoreItem xmlns:ds="http://schemas.openxmlformats.org/officeDocument/2006/customXml" ds:itemID="{2E2066A3-77E7-4473-87C3-FC14B70F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ea6f8-180e-492d-8fce-f23dadd79e84"/>
    <ds:schemaRef ds:uri="66c3a1c0-9712-421e-bbb0-252f5f04f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0C021-D1C3-4FBC-941F-E73A1FD04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Links>
    <vt:vector size="36" baseType="variant">
      <vt:variant>
        <vt:i4>131098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https://drive.google.com/drive/folders/1NTmV7v8xmdzOBv2OMHXm5ASe4OalFPkj?usp=sharing</vt:lpwstr>
      </vt:variant>
      <vt:variant>
        <vt:lpwstr/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_Toc182308590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_Toc182308589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_Toc182308588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_Toc182308587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_Toc182308586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Foster</dc:creator>
  <cp:keywords/>
  <dc:description/>
  <cp:lastModifiedBy>Latavia Mitchell Morgan</cp:lastModifiedBy>
  <cp:revision>2</cp:revision>
  <cp:lastPrinted>2026-03-05T18:02:00Z</cp:lastPrinted>
  <dcterms:created xsi:type="dcterms:W3CDTF">2026-03-17T18:28:00Z</dcterms:created>
  <dcterms:modified xsi:type="dcterms:W3CDTF">2026-03-17T18:28:00Z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0x0101000F0195D08660B14BA275B7FFCC53EF2C</vt:lpwstr>
  </property>
  <property fmtid="{D5CDD505-2E9C-101B-9397-08002B2CF9AE}" pid="3" name="GrammarlyDocumentId">
    <vt:lpwstr>16ac0f90-f0c8-4fdf-b347-f23145a8df48</vt:lpwstr>
  </property>
</Properties>
</file>